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11C1" w14:textId="77777777" w:rsidR="00196283" w:rsidRPr="003B0BD7" w:rsidRDefault="00196283" w:rsidP="00340C0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CD7087" w14:textId="05443BE9" w:rsidR="00196283" w:rsidRPr="00EF4DA9" w:rsidRDefault="00E8048E" w:rsidP="00E8048E">
      <w:pPr>
        <w:jc w:val="center"/>
        <w:rPr>
          <w:b/>
          <w:bCs/>
        </w:rPr>
      </w:pPr>
      <w:r w:rsidRPr="00EF4DA9">
        <w:t xml:space="preserve">                                       </w:t>
      </w:r>
    </w:p>
    <w:tbl>
      <w:tblPr>
        <w:tblpPr w:leftFromText="180" w:rightFromText="180" w:horzAnchor="margin" w:tblpY="-723"/>
        <w:tblW w:w="0" w:type="auto"/>
        <w:tblLayout w:type="fixed"/>
        <w:tblLook w:val="04A0" w:firstRow="1" w:lastRow="0" w:firstColumn="1" w:lastColumn="0" w:noHBand="0" w:noVBand="1"/>
      </w:tblPr>
      <w:tblGrid>
        <w:gridCol w:w="1057"/>
        <w:gridCol w:w="5633"/>
      </w:tblGrid>
      <w:tr w:rsidR="00196283" w:rsidRPr="003B0BD7" w14:paraId="2654635C" w14:textId="77777777" w:rsidTr="00A3270D">
        <w:trPr>
          <w:trHeight w:val="808"/>
        </w:trPr>
        <w:tc>
          <w:tcPr>
            <w:tcW w:w="1057" w:type="dxa"/>
            <w:hideMark/>
          </w:tcPr>
          <w:p w14:paraId="4FCCDF9D" w14:textId="77777777" w:rsidR="00196283" w:rsidRPr="003B0BD7" w:rsidRDefault="00196283" w:rsidP="001962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33" w:type="dxa"/>
            <w:hideMark/>
          </w:tcPr>
          <w:p w14:paraId="01AB5E7C" w14:textId="77777777" w:rsidR="00196283" w:rsidRPr="003B0BD7" w:rsidRDefault="00196283" w:rsidP="001962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0BD7">
              <w:rPr>
                <w:rFonts w:asciiTheme="minorHAnsi" w:hAnsiTheme="minorHAnsi" w:cstheme="minorHAnsi"/>
                <w:sz w:val="22"/>
                <w:szCs w:val="22"/>
              </w:rPr>
              <w:object w:dxaOrig="555" w:dyaOrig="720" w14:anchorId="4D1E34A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75pt;height:36pt" o:ole="" fillcolor="window">
                  <v:imagedata r:id="rId6" o:title=""/>
                </v:shape>
                <o:OLEObject Type="Embed" ProgID="Word.Picture.8" ShapeID="_x0000_i1025" DrawAspect="Content" ObjectID="_1827056264" r:id="rId7"/>
              </w:object>
            </w:r>
          </w:p>
        </w:tc>
      </w:tr>
      <w:tr w:rsidR="00196283" w:rsidRPr="00EF4DA9" w14:paraId="687B2F21" w14:textId="77777777" w:rsidTr="00A3270D">
        <w:trPr>
          <w:trHeight w:val="1205"/>
        </w:trPr>
        <w:tc>
          <w:tcPr>
            <w:tcW w:w="1057" w:type="dxa"/>
            <w:hideMark/>
          </w:tcPr>
          <w:p w14:paraId="0E748FA0" w14:textId="77777777" w:rsidR="00196283" w:rsidRPr="00EF4DA9" w:rsidRDefault="00196283" w:rsidP="00196283">
            <w:pPr>
              <w:rPr>
                <w:b/>
                <w:bCs/>
              </w:rPr>
            </w:pPr>
          </w:p>
          <w:p w14:paraId="28B6B761" w14:textId="77777777" w:rsidR="00196283" w:rsidRPr="00EF4DA9" w:rsidRDefault="00196283" w:rsidP="00196283">
            <w:pPr>
              <w:rPr>
                <w:b/>
                <w:bCs/>
              </w:rPr>
            </w:pPr>
            <w:r w:rsidRPr="00EF4DA9">
              <w:rPr>
                <w:b/>
                <w:bCs/>
              </w:rPr>
              <w:object w:dxaOrig="525" w:dyaOrig="645" w14:anchorId="1AD74709">
                <v:shape id="_x0000_i1026" type="#_x0000_t75" style="width:26.25pt;height:33pt" o:ole="" fillcolor="window">
                  <v:imagedata r:id="rId8" o:title=""/>
                </v:shape>
                <o:OLEObject Type="Embed" ProgID="Word.Picture.8" ShapeID="_x0000_i1026" DrawAspect="Content" ObjectID="_1827056265" r:id="rId9"/>
              </w:object>
            </w:r>
          </w:p>
        </w:tc>
        <w:tc>
          <w:tcPr>
            <w:tcW w:w="5633" w:type="dxa"/>
            <w:hideMark/>
          </w:tcPr>
          <w:p w14:paraId="04A5DE4E" w14:textId="77777777" w:rsidR="00196283" w:rsidRPr="00EF4DA9" w:rsidRDefault="00196283" w:rsidP="00196283">
            <w:pPr>
              <w:keepNext/>
              <w:jc w:val="center"/>
              <w:outlineLvl w:val="0"/>
              <w:rPr>
                <w:b/>
                <w:bCs/>
              </w:rPr>
            </w:pPr>
            <w:r w:rsidRPr="00EF4DA9">
              <w:rPr>
                <w:b/>
                <w:bCs/>
              </w:rPr>
              <w:t>REPUBLIKA HRVATSKA</w:t>
            </w:r>
          </w:p>
          <w:p w14:paraId="6A4E168C" w14:textId="77777777" w:rsidR="00196283" w:rsidRPr="00EF4DA9" w:rsidRDefault="00196283" w:rsidP="00196283">
            <w:pPr>
              <w:keepNext/>
              <w:jc w:val="center"/>
              <w:outlineLvl w:val="1"/>
              <w:rPr>
                <w:b/>
                <w:bCs/>
              </w:rPr>
            </w:pPr>
            <w:r w:rsidRPr="00EF4DA9">
              <w:rPr>
                <w:b/>
                <w:bCs/>
              </w:rPr>
              <w:t>BJELOVARSKO-BILOGORSKA ŽUPANIJA</w:t>
            </w:r>
          </w:p>
          <w:p w14:paraId="50C3EC40" w14:textId="77777777" w:rsidR="00196283" w:rsidRPr="00EF4DA9" w:rsidRDefault="00196283" w:rsidP="00196283">
            <w:pPr>
              <w:keepNext/>
              <w:jc w:val="center"/>
              <w:outlineLvl w:val="0"/>
              <w:rPr>
                <w:b/>
                <w:bCs/>
              </w:rPr>
            </w:pPr>
            <w:r w:rsidRPr="00EF4DA9">
              <w:rPr>
                <w:b/>
                <w:bCs/>
              </w:rPr>
              <w:t>GRAD ČAZMA</w:t>
            </w:r>
          </w:p>
          <w:p w14:paraId="074B229A" w14:textId="77777777" w:rsidR="00196283" w:rsidRPr="00EF4DA9" w:rsidRDefault="00196283" w:rsidP="00196283">
            <w:pPr>
              <w:keepNext/>
              <w:jc w:val="center"/>
              <w:outlineLvl w:val="6"/>
              <w:rPr>
                <w:b/>
                <w:bCs/>
              </w:rPr>
            </w:pPr>
            <w:r w:rsidRPr="00EF4DA9">
              <w:rPr>
                <w:b/>
                <w:bCs/>
              </w:rPr>
              <w:t>GRADSKO VIJEĆE</w:t>
            </w:r>
          </w:p>
        </w:tc>
      </w:tr>
    </w:tbl>
    <w:p w14:paraId="58CC063D" w14:textId="77777777" w:rsidR="00196283" w:rsidRPr="00EF4DA9" w:rsidRDefault="00196283" w:rsidP="00196283">
      <w:pPr>
        <w:jc w:val="both"/>
        <w:rPr>
          <w:b/>
          <w:bCs/>
        </w:rPr>
      </w:pPr>
    </w:p>
    <w:p w14:paraId="261838AA" w14:textId="77777777" w:rsidR="00196283" w:rsidRPr="00EF4DA9" w:rsidRDefault="00196283" w:rsidP="00196283">
      <w:pPr>
        <w:jc w:val="both"/>
        <w:rPr>
          <w:b/>
          <w:bCs/>
        </w:rPr>
      </w:pPr>
    </w:p>
    <w:p w14:paraId="686709DE" w14:textId="77777777" w:rsidR="00196283" w:rsidRPr="00EF4DA9" w:rsidRDefault="00196283" w:rsidP="00196283">
      <w:pPr>
        <w:jc w:val="both"/>
        <w:rPr>
          <w:b/>
          <w:bCs/>
        </w:rPr>
      </w:pPr>
    </w:p>
    <w:p w14:paraId="1FA3DD7F" w14:textId="77777777" w:rsidR="00E8048E" w:rsidRPr="00EF4DA9" w:rsidRDefault="00E8048E" w:rsidP="00196283">
      <w:pPr>
        <w:jc w:val="both"/>
        <w:rPr>
          <w:b/>
          <w:bCs/>
        </w:rPr>
      </w:pPr>
    </w:p>
    <w:p w14:paraId="53F2680F" w14:textId="6CD267CF" w:rsidR="00196283" w:rsidRPr="00EF4DA9" w:rsidRDefault="00196283" w:rsidP="00196283">
      <w:pPr>
        <w:jc w:val="both"/>
        <w:rPr>
          <w:b/>
          <w:bCs/>
        </w:rPr>
      </w:pPr>
      <w:r w:rsidRPr="00EF4DA9">
        <w:rPr>
          <w:b/>
          <w:bCs/>
        </w:rPr>
        <w:t xml:space="preserve">KLASA: </w:t>
      </w:r>
      <w:r w:rsidR="00A3270D">
        <w:rPr>
          <w:b/>
          <w:bCs/>
        </w:rPr>
        <w:t>945-01/25-01/02</w:t>
      </w:r>
      <w:r w:rsidR="006E50B2" w:rsidRPr="00EF4DA9">
        <w:rPr>
          <w:b/>
          <w:bCs/>
        </w:rPr>
        <w:t xml:space="preserve">                                                                                                           </w:t>
      </w:r>
    </w:p>
    <w:p w14:paraId="158EDC32" w14:textId="0426C053" w:rsidR="00196283" w:rsidRPr="00EF4DA9" w:rsidRDefault="00196283" w:rsidP="00196283">
      <w:pPr>
        <w:jc w:val="both"/>
        <w:rPr>
          <w:b/>
          <w:bCs/>
        </w:rPr>
      </w:pPr>
      <w:r w:rsidRPr="00EF4DA9">
        <w:rPr>
          <w:b/>
          <w:bCs/>
        </w:rPr>
        <w:t xml:space="preserve">URBROJ: </w:t>
      </w:r>
      <w:r w:rsidR="00A3270D">
        <w:rPr>
          <w:b/>
          <w:bCs/>
        </w:rPr>
        <w:t>2103-2-04/06-25-1</w:t>
      </w:r>
    </w:p>
    <w:p w14:paraId="24A22E5A" w14:textId="38D39654" w:rsidR="00196283" w:rsidRPr="00EF4DA9" w:rsidRDefault="00196283" w:rsidP="00196283">
      <w:pPr>
        <w:jc w:val="both"/>
        <w:rPr>
          <w:b/>
          <w:bCs/>
        </w:rPr>
      </w:pPr>
      <w:r w:rsidRPr="00EF4DA9">
        <w:rPr>
          <w:b/>
          <w:bCs/>
        </w:rPr>
        <w:t>Č</w:t>
      </w:r>
      <w:r w:rsidR="00A3270D">
        <w:rPr>
          <w:b/>
          <w:bCs/>
        </w:rPr>
        <w:t>AZMA</w:t>
      </w:r>
      <w:r w:rsidRPr="00EF4DA9">
        <w:rPr>
          <w:b/>
          <w:bCs/>
        </w:rPr>
        <w:t xml:space="preserve">, </w:t>
      </w:r>
      <w:r w:rsidR="00A3270D">
        <w:rPr>
          <w:b/>
          <w:bCs/>
        </w:rPr>
        <w:t>11.12.2025.</w:t>
      </w:r>
      <w:r w:rsidRPr="00EF4DA9">
        <w:rPr>
          <w:b/>
          <w:bCs/>
        </w:rPr>
        <w:t xml:space="preserve">                                                                                   </w:t>
      </w:r>
      <w:r w:rsidR="003A6CE5" w:rsidRPr="00EF4DA9">
        <w:rPr>
          <w:b/>
          <w:bCs/>
        </w:rPr>
        <w:t xml:space="preserve">                   </w:t>
      </w:r>
    </w:p>
    <w:p w14:paraId="2F02B911" w14:textId="77777777" w:rsidR="003B0BD7" w:rsidRPr="00EF4DA9" w:rsidRDefault="003B0BD7" w:rsidP="003B0BD7">
      <w:pPr>
        <w:jc w:val="both"/>
      </w:pPr>
    </w:p>
    <w:p w14:paraId="6F3718DF" w14:textId="1A29695A" w:rsidR="00196283" w:rsidRPr="00EF4DA9" w:rsidRDefault="003B0BD7" w:rsidP="00192E79">
      <w:pPr>
        <w:ind w:firstLine="708"/>
        <w:jc w:val="both"/>
      </w:pPr>
      <w:r w:rsidRPr="00EF4DA9">
        <w:t>N</w:t>
      </w:r>
      <w:r w:rsidR="00C30532" w:rsidRPr="00EF4DA9">
        <w:t>a temelju članka 25. stavka 8. i članka 49. stavka 4. Zakona o poljoprivrednom zemljištu („Narodne novine“ broj 20/18</w:t>
      </w:r>
      <w:r w:rsidR="000A1B1B" w:rsidRPr="00EF4DA9">
        <w:t>, 115/18</w:t>
      </w:r>
      <w:r w:rsidR="00DA07EB" w:rsidRPr="00EF4DA9">
        <w:t xml:space="preserve">, </w:t>
      </w:r>
      <w:r w:rsidR="000A1B1B" w:rsidRPr="00EF4DA9">
        <w:t>98/19</w:t>
      </w:r>
      <w:r w:rsidR="00A44285" w:rsidRPr="00EF4DA9">
        <w:t xml:space="preserve">, </w:t>
      </w:r>
      <w:r w:rsidR="00DA07EB" w:rsidRPr="00EF4DA9">
        <w:t>57/22</w:t>
      </w:r>
      <w:r w:rsidR="00A44285" w:rsidRPr="00EF4DA9">
        <w:t xml:space="preserve"> i 136/25</w:t>
      </w:r>
      <w:r w:rsidR="00C30532" w:rsidRPr="00EF4DA9">
        <w:t xml:space="preserve">) </w:t>
      </w:r>
      <w:r w:rsidR="00196283" w:rsidRPr="00EF4DA9">
        <w:t>i članka 3</w:t>
      </w:r>
      <w:r w:rsidR="004F014A" w:rsidRPr="00EF4DA9">
        <w:t>4</w:t>
      </w:r>
      <w:r w:rsidR="00196283" w:rsidRPr="00EF4DA9">
        <w:t xml:space="preserve">. Statuta Grada Čazme (“Službeni vjesnik” </w:t>
      </w:r>
      <w:r w:rsidR="00B45274" w:rsidRPr="00EF4DA9">
        <w:t>Grada Ča</w:t>
      </w:r>
      <w:r w:rsidR="00175C8C" w:rsidRPr="00EF4DA9">
        <w:t>z</w:t>
      </w:r>
      <w:r w:rsidR="00B45274" w:rsidRPr="00EF4DA9">
        <w:t xml:space="preserve">me, </w:t>
      </w:r>
      <w:r w:rsidR="004F014A" w:rsidRPr="00EF4DA9">
        <w:t>13/21</w:t>
      </w:r>
      <w:r w:rsidR="00E8048E" w:rsidRPr="00EF4DA9">
        <w:t>, 39/25</w:t>
      </w:r>
      <w:r w:rsidR="00196283" w:rsidRPr="00EF4DA9">
        <w:t xml:space="preserve">), Gradsko vijeće Grada Čazme na </w:t>
      </w:r>
      <w:r w:rsidR="00A3270D">
        <w:t>8</w:t>
      </w:r>
      <w:r w:rsidR="00A90A11" w:rsidRPr="00EF4DA9">
        <w:t>.</w:t>
      </w:r>
      <w:r w:rsidR="00196283" w:rsidRPr="00EF4DA9">
        <w:t xml:space="preserve"> sjednici </w:t>
      </w:r>
      <w:r w:rsidR="00C30532" w:rsidRPr="00EF4DA9">
        <w:t xml:space="preserve">održanoj dana </w:t>
      </w:r>
      <w:r w:rsidR="00196283" w:rsidRPr="00EF4DA9">
        <w:t xml:space="preserve"> </w:t>
      </w:r>
      <w:r w:rsidR="00A3270D">
        <w:t>11.12.</w:t>
      </w:r>
      <w:r w:rsidR="00196283" w:rsidRPr="00EF4DA9">
        <w:t>20</w:t>
      </w:r>
      <w:r w:rsidR="00955CE7" w:rsidRPr="00EF4DA9">
        <w:t>2</w:t>
      </w:r>
      <w:r w:rsidR="00E8048E" w:rsidRPr="00EF4DA9">
        <w:t>5</w:t>
      </w:r>
      <w:r w:rsidR="00196283" w:rsidRPr="00EF4DA9">
        <w:t>. godine, donosi</w:t>
      </w:r>
    </w:p>
    <w:p w14:paraId="2FC21DF8" w14:textId="77777777" w:rsidR="00196283" w:rsidRPr="00EF4DA9" w:rsidRDefault="00196283" w:rsidP="00196283">
      <w:pPr>
        <w:autoSpaceDE w:val="0"/>
        <w:autoSpaceDN w:val="0"/>
        <w:adjustRightInd w:val="0"/>
        <w:rPr>
          <w:b/>
          <w:bCs/>
        </w:rPr>
      </w:pPr>
    </w:p>
    <w:p w14:paraId="1473E554" w14:textId="77777777" w:rsidR="00C30532" w:rsidRPr="00EF4DA9" w:rsidRDefault="00C30532" w:rsidP="00C30532">
      <w:pPr>
        <w:jc w:val="center"/>
        <w:rPr>
          <w:b/>
        </w:rPr>
      </w:pPr>
      <w:r w:rsidRPr="00EF4DA9">
        <w:rPr>
          <w:b/>
        </w:rPr>
        <w:t>PROGRAM</w:t>
      </w:r>
    </w:p>
    <w:p w14:paraId="3D319584" w14:textId="50F780F2" w:rsidR="00C30532" w:rsidRPr="00EF4DA9" w:rsidRDefault="006E50B2" w:rsidP="00C30532">
      <w:pPr>
        <w:jc w:val="center"/>
        <w:rPr>
          <w:b/>
        </w:rPr>
      </w:pPr>
      <w:r w:rsidRPr="00EF4DA9">
        <w:rPr>
          <w:b/>
        </w:rPr>
        <w:t>utroška</w:t>
      </w:r>
      <w:r w:rsidR="00C30532" w:rsidRPr="00EF4DA9">
        <w:rPr>
          <w:b/>
        </w:rPr>
        <w:t xml:space="preserve"> sredstava od raspolaganja poljoprivrednim zemljištem</w:t>
      </w:r>
      <w:r w:rsidR="005F33FA" w:rsidRPr="00EF4DA9">
        <w:rPr>
          <w:b/>
        </w:rPr>
        <w:t xml:space="preserve"> u vlasništvu Republike Hrvatske</w:t>
      </w:r>
      <w:r w:rsidR="00C30532" w:rsidRPr="00EF4DA9">
        <w:rPr>
          <w:b/>
        </w:rPr>
        <w:t xml:space="preserve"> </w:t>
      </w:r>
      <w:r w:rsidR="005F33FA" w:rsidRPr="00EF4DA9">
        <w:rPr>
          <w:b/>
        </w:rPr>
        <w:t xml:space="preserve">na </w:t>
      </w:r>
      <w:r w:rsidR="00C30532" w:rsidRPr="00EF4DA9">
        <w:rPr>
          <w:b/>
        </w:rPr>
        <w:t>području Grada Čazme</w:t>
      </w:r>
      <w:r w:rsidR="001052FC" w:rsidRPr="00EF4DA9">
        <w:rPr>
          <w:b/>
        </w:rPr>
        <w:t xml:space="preserve"> </w:t>
      </w:r>
      <w:r w:rsidR="00C30532" w:rsidRPr="00EF4DA9">
        <w:rPr>
          <w:b/>
        </w:rPr>
        <w:t>za 20</w:t>
      </w:r>
      <w:r w:rsidR="000A1B1B" w:rsidRPr="00EF4DA9">
        <w:rPr>
          <w:b/>
        </w:rPr>
        <w:t>2</w:t>
      </w:r>
      <w:r w:rsidR="00E8048E" w:rsidRPr="00EF4DA9">
        <w:rPr>
          <w:b/>
        </w:rPr>
        <w:t>6</w:t>
      </w:r>
      <w:r w:rsidR="00C30532" w:rsidRPr="00EF4DA9">
        <w:rPr>
          <w:b/>
        </w:rPr>
        <w:t>. godinu</w:t>
      </w:r>
    </w:p>
    <w:p w14:paraId="46FF7ED7" w14:textId="77777777" w:rsidR="00196283" w:rsidRPr="00EF4DA9" w:rsidRDefault="00196283" w:rsidP="00196283">
      <w:pPr>
        <w:autoSpaceDE w:val="0"/>
        <w:autoSpaceDN w:val="0"/>
        <w:adjustRightInd w:val="0"/>
        <w:jc w:val="center"/>
      </w:pPr>
    </w:p>
    <w:p w14:paraId="52B1E0B6" w14:textId="77777777" w:rsidR="00196283" w:rsidRPr="00EF4DA9" w:rsidRDefault="00196283" w:rsidP="00196283">
      <w:pPr>
        <w:autoSpaceDE w:val="0"/>
        <w:autoSpaceDN w:val="0"/>
        <w:adjustRightInd w:val="0"/>
        <w:jc w:val="center"/>
        <w:rPr>
          <w:b/>
          <w:bCs/>
        </w:rPr>
      </w:pPr>
      <w:r w:rsidRPr="00EF4DA9">
        <w:rPr>
          <w:b/>
          <w:bCs/>
        </w:rPr>
        <w:t>Članak 1.</w:t>
      </w:r>
    </w:p>
    <w:p w14:paraId="612E52D7" w14:textId="11DDC9E4" w:rsidR="00C30532" w:rsidRPr="00EF4DA9" w:rsidRDefault="00C30532" w:rsidP="00C30532">
      <w:pPr>
        <w:ind w:firstLine="708"/>
        <w:jc w:val="both"/>
      </w:pPr>
      <w:r w:rsidRPr="00EF4DA9">
        <w:t>Program korištenja sredstava od raspolaganja poljoprivrednim zemljištem na području Grada Čazme za 20</w:t>
      </w:r>
      <w:r w:rsidR="000A1B1B" w:rsidRPr="00EF4DA9">
        <w:t>2</w:t>
      </w:r>
      <w:r w:rsidR="00E8048E" w:rsidRPr="00EF4DA9">
        <w:t>6</w:t>
      </w:r>
      <w:r w:rsidRPr="00EF4DA9">
        <w:t>. godinu predstavlja planski dokument kojim se raspoređuju prihodi od zakupa, dugogodišnjeg zakupa, privremenog korištenja te promjene namjene poljoprivrednog zemljišta sukladno namjeni definiranoj Zakonom o poljoprivrednom zemljištu.</w:t>
      </w:r>
    </w:p>
    <w:p w14:paraId="602A6770" w14:textId="77777777" w:rsidR="00196283" w:rsidRPr="00EF4DA9" w:rsidRDefault="00196283" w:rsidP="00196283">
      <w:pPr>
        <w:autoSpaceDE w:val="0"/>
        <w:autoSpaceDN w:val="0"/>
        <w:adjustRightInd w:val="0"/>
        <w:jc w:val="both"/>
      </w:pPr>
    </w:p>
    <w:p w14:paraId="55CF2C19" w14:textId="77777777" w:rsidR="00196283" w:rsidRPr="00EF4DA9" w:rsidRDefault="00196283" w:rsidP="00196283">
      <w:pPr>
        <w:autoSpaceDE w:val="0"/>
        <w:autoSpaceDN w:val="0"/>
        <w:adjustRightInd w:val="0"/>
        <w:jc w:val="center"/>
        <w:rPr>
          <w:b/>
          <w:bCs/>
        </w:rPr>
      </w:pPr>
      <w:r w:rsidRPr="00EF4DA9">
        <w:rPr>
          <w:b/>
          <w:bCs/>
        </w:rPr>
        <w:t>Članak 2.</w:t>
      </w:r>
    </w:p>
    <w:p w14:paraId="0D549A44" w14:textId="4261CDCF" w:rsidR="00196283" w:rsidRPr="00EF4DA9" w:rsidRDefault="00F4326A" w:rsidP="00196283">
      <w:pPr>
        <w:autoSpaceDE w:val="0"/>
        <w:autoSpaceDN w:val="0"/>
        <w:adjustRightInd w:val="0"/>
        <w:ind w:firstLine="708"/>
        <w:jc w:val="both"/>
      </w:pPr>
      <w:r w:rsidRPr="00EF4DA9">
        <w:t xml:space="preserve">Ukupni planirani prihod od raspolaganja </w:t>
      </w:r>
      <w:r w:rsidR="00DA5A7C" w:rsidRPr="00EF4DA9">
        <w:t>poljoprivrednim zemljištem u vlasništvu Republike Hrvatske na području Grada Čazme za 20</w:t>
      </w:r>
      <w:r w:rsidR="000A1B1B" w:rsidRPr="00EF4DA9">
        <w:t>2</w:t>
      </w:r>
      <w:r w:rsidR="00E8048E" w:rsidRPr="00EF4DA9">
        <w:t>6</w:t>
      </w:r>
      <w:r w:rsidR="00DA5A7C" w:rsidRPr="00EF4DA9">
        <w:t xml:space="preserve">. godinu </w:t>
      </w:r>
      <w:r w:rsidR="005F33FA" w:rsidRPr="00EF4DA9">
        <w:t xml:space="preserve">iz članka 1. </w:t>
      </w:r>
      <w:r w:rsidR="00DA5A7C" w:rsidRPr="00EF4DA9">
        <w:t>iznosi</w:t>
      </w:r>
      <w:r w:rsidR="00196283" w:rsidRPr="00EF4DA9">
        <w:t xml:space="preserve"> </w:t>
      </w:r>
      <w:r w:rsidR="00C002D7" w:rsidRPr="00EF4DA9">
        <w:rPr>
          <w:b/>
          <w:bCs/>
        </w:rPr>
        <w:t>1</w:t>
      </w:r>
      <w:r w:rsidR="00E8048E" w:rsidRPr="00EF4DA9">
        <w:rPr>
          <w:b/>
          <w:bCs/>
        </w:rPr>
        <w:t>63</w:t>
      </w:r>
      <w:r w:rsidR="00B22483" w:rsidRPr="00EF4DA9">
        <w:rPr>
          <w:b/>
          <w:bCs/>
        </w:rPr>
        <w:t>.000,00</w:t>
      </w:r>
      <w:r w:rsidR="00F43F71" w:rsidRPr="00EF4DA9">
        <w:t xml:space="preserve"> EUR</w:t>
      </w:r>
      <w:r w:rsidR="00196283" w:rsidRPr="00EF4DA9">
        <w:t>.</w:t>
      </w:r>
    </w:p>
    <w:p w14:paraId="2986E977" w14:textId="77777777" w:rsidR="00196283" w:rsidRPr="00EF4DA9" w:rsidRDefault="00196283" w:rsidP="00C30532">
      <w:pPr>
        <w:autoSpaceDE w:val="0"/>
        <w:autoSpaceDN w:val="0"/>
        <w:adjustRightInd w:val="0"/>
      </w:pPr>
    </w:p>
    <w:p w14:paraId="37B740D1" w14:textId="77777777" w:rsidR="00196283" w:rsidRPr="00EF4DA9" w:rsidRDefault="00196283" w:rsidP="00196283">
      <w:pPr>
        <w:autoSpaceDE w:val="0"/>
        <w:autoSpaceDN w:val="0"/>
        <w:adjustRightInd w:val="0"/>
        <w:jc w:val="center"/>
        <w:rPr>
          <w:b/>
          <w:bCs/>
        </w:rPr>
      </w:pPr>
      <w:r w:rsidRPr="00EF4DA9">
        <w:rPr>
          <w:b/>
          <w:bCs/>
        </w:rPr>
        <w:t>Članak 3.</w:t>
      </w:r>
    </w:p>
    <w:p w14:paraId="50070367" w14:textId="0E797519" w:rsidR="00196283" w:rsidRDefault="00196283" w:rsidP="00196283">
      <w:pPr>
        <w:autoSpaceDE w:val="0"/>
        <w:autoSpaceDN w:val="0"/>
        <w:adjustRightInd w:val="0"/>
        <w:ind w:firstLine="708"/>
        <w:jc w:val="both"/>
      </w:pPr>
      <w:r w:rsidRPr="00EF4DA9">
        <w:t>Sredstva iz članka 2. koristit će se za financiranje aktivnosti Programa poticanja razvoja poljoprivrede na području Grada Čazme koji je sastavni dio proračuna Grada Čazme za 20</w:t>
      </w:r>
      <w:r w:rsidR="0016760C" w:rsidRPr="00EF4DA9">
        <w:t>2</w:t>
      </w:r>
      <w:r w:rsidR="00E8048E" w:rsidRPr="00EF4DA9">
        <w:t>6</w:t>
      </w:r>
      <w:r w:rsidRPr="00EF4DA9">
        <w:t>. godinu, a dio sredstava za osobne dohotke, programe katastarsko-geodetske izmjere zemljišta, sređivanje zemljišnih knjiga, programe uređenja ruralnog prostora izgradnjom i održavanje ruralne infrastrukture, aktivnosti izrade programa i projekata za provedbu mjera potpore iz Programa ruralnog razvoja, a čija se izrada ne sufinancira kroz mjere potpore iz tog Programa</w:t>
      </w:r>
      <w:r w:rsidR="00DA5A7C" w:rsidRPr="00EF4DA9">
        <w:t xml:space="preserve"> i druge poticajne mjere </w:t>
      </w:r>
      <w:r w:rsidR="00940A99" w:rsidRPr="00EF4DA9">
        <w:t>za unapređenje poljoprivrede.</w:t>
      </w:r>
    </w:p>
    <w:p w14:paraId="602F4BCC" w14:textId="77777777" w:rsidR="00EF4DA9" w:rsidRPr="00EF4DA9" w:rsidRDefault="00EF4DA9" w:rsidP="00196283">
      <w:pPr>
        <w:autoSpaceDE w:val="0"/>
        <w:autoSpaceDN w:val="0"/>
        <w:adjustRightInd w:val="0"/>
        <w:ind w:firstLine="708"/>
        <w:jc w:val="both"/>
      </w:pPr>
    </w:p>
    <w:p w14:paraId="1320C8E5" w14:textId="0F21C4DE" w:rsidR="00940A99" w:rsidRPr="00EF4DA9" w:rsidRDefault="00196283" w:rsidP="00940A99">
      <w:pPr>
        <w:autoSpaceDE w:val="0"/>
        <w:autoSpaceDN w:val="0"/>
        <w:adjustRightInd w:val="0"/>
        <w:jc w:val="center"/>
        <w:rPr>
          <w:b/>
          <w:bCs/>
        </w:rPr>
      </w:pPr>
      <w:r w:rsidRPr="00EF4DA9">
        <w:rPr>
          <w:b/>
          <w:bCs/>
        </w:rPr>
        <w:t>Članak 4.</w:t>
      </w:r>
    </w:p>
    <w:p w14:paraId="6032ECC6" w14:textId="38717C55" w:rsidR="00940A99" w:rsidRPr="00EF4DA9" w:rsidRDefault="00940A99" w:rsidP="00940A99">
      <w:pPr>
        <w:ind w:firstLine="708"/>
        <w:jc w:val="both"/>
      </w:pPr>
      <w:r w:rsidRPr="00EF4DA9">
        <w:t>Upravni odjel zadužen za provedbu ovog Programa podnijeti će godišnje izvješće o ostvarenju ovog Programa korištenja sredstava Ministarstvu poljoprivrede i Gradskom vijeću do 31. ožujka 202</w:t>
      </w:r>
      <w:r w:rsidR="00E8048E" w:rsidRPr="00EF4DA9">
        <w:t>6</w:t>
      </w:r>
      <w:r w:rsidRPr="00EF4DA9">
        <w:t>. godine.</w:t>
      </w:r>
    </w:p>
    <w:p w14:paraId="05EDCEC3" w14:textId="77777777" w:rsidR="00940A99" w:rsidRPr="00EF4DA9" w:rsidRDefault="00940A99" w:rsidP="00940A99">
      <w:pPr>
        <w:ind w:firstLine="708"/>
        <w:jc w:val="both"/>
      </w:pPr>
    </w:p>
    <w:p w14:paraId="0E471D00" w14:textId="5894FBC1" w:rsidR="00196283" w:rsidRPr="00EF4DA9" w:rsidRDefault="00940A99" w:rsidP="00940A99">
      <w:pPr>
        <w:autoSpaceDE w:val="0"/>
        <w:autoSpaceDN w:val="0"/>
        <w:adjustRightInd w:val="0"/>
        <w:jc w:val="center"/>
        <w:rPr>
          <w:b/>
          <w:bCs/>
        </w:rPr>
      </w:pPr>
      <w:r w:rsidRPr="00EF4DA9">
        <w:rPr>
          <w:b/>
          <w:bCs/>
        </w:rPr>
        <w:t>Članak 5.</w:t>
      </w:r>
    </w:p>
    <w:p w14:paraId="6E850460" w14:textId="77777777" w:rsidR="00E8048E" w:rsidRPr="00EF4DA9" w:rsidRDefault="00196283" w:rsidP="00E8048E">
      <w:pPr>
        <w:ind w:firstLine="720"/>
        <w:jc w:val="both"/>
      </w:pPr>
      <w:r w:rsidRPr="00EF4DA9">
        <w:t>Ovaj Program će se objaviti u «Službenom vjesniku» Grada Čazme i stupa na snagu osmog dana od dana objave, a primjenjuje se od 01.</w:t>
      </w:r>
      <w:r w:rsidR="00B22483" w:rsidRPr="00EF4DA9">
        <w:t xml:space="preserve"> siječnja </w:t>
      </w:r>
      <w:r w:rsidRPr="00EF4DA9">
        <w:t>20</w:t>
      </w:r>
      <w:r w:rsidR="0016760C" w:rsidRPr="00EF4DA9">
        <w:t>2</w:t>
      </w:r>
      <w:r w:rsidR="00E8048E" w:rsidRPr="00EF4DA9">
        <w:t>6</w:t>
      </w:r>
      <w:r w:rsidRPr="00EF4DA9">
        <w:t>. godine.</w:t>
      </w:r>
    </w:p>
    <w:p w14:paraId="605A2C20" w14:textId="77777777" w:rsidR="00E8048E" w:rsidRPr="00EF4DA9" w:rsidRDefault="00E8048E" w:rsidP="00E8048E">
      <w:pPr>
        <w:ind w:firstLine="720"/>
        <w:jc w:val="both"/>
      </w:pPr>
    </w:p>
    <w:p w14:paraId="768FA042" w14:textId="77777777" w:rsidR="00E8048E" w:rsidRPr="00EF4DA9" w:rsidRDefault="00E8048E" w:rsidP="00E8048E">
      <w:pPr>
        <w:ind w:firstLine="720"/>
        <w:jc w:val="both"/>
      </w:pPr>
    </w:p>
    <w:p w14:paraId="1B9F0A4D" w14:textId="2DF306A0" w:rsidR="00196283" w:rsidRPr="00EF4DA9" w:rsidRDefault="00E8048E" w:rsidP="00E8048E">
      <w:pPr>
        <w:ind w:firstLine="720"/>
        <w:jc w:val="both"/>
      </w:pPr>
      <w:r w:rsidRPr="00EF4DA9">
        <w:rPr>
          <w:b/>
          <w:bCs/>
        </w:rPr>
        <w:t xml:space="preserve">                                                                      </w:t>
      </w:r>
      <w:r w:rsidR="000A1B1B" w:rsidRPr="00EF4DA9">
        <w:rPr>
          <w:b/>
          <w:bCs/>
        </w:rPr>
        <w:t>PREDSJEDNI</w:t>
      </w:r>
      <w:r w:rsidR="00EF4DA9">
        <w:rPr>
          <w:b/>
          <w:bCs/>
        </w:rPr>
        <w:t xml:space="preserve">K </w:t>
      </w:r>
      <w:r w:rsidR="00196283" w:rsidRPr="00EF4DA9">
        <w:rPr>
          <w:b/>
          <w:bCs/>
        </w:rPr>
        <w:t>GRADSKOG VIJEĆA</w:t>
      </w:r>
    </w:p>
    <w:p w14:paraId="3F5AFBC6" w14:textId="77777777" w:rsidR="00196283" w:rsidRPr="00EF4DA9" w:rsidRDefault="00196283" w:rsidP="003B0BD7">
      <w:pPr>
        <w:tabs>
          <w:tab w:val="center" w:pos="6946"/>
        </w:tabs>
        <w:jc w:val="right"/>
        <w:rPr>
          <w:b/>
          <w:bCs/>
        </w:rPr>
      </w:pPr>
    </w:p>
    <w:p w14:paraId="74EB3FD6" w14:textId="04E8E5C3" w:rsidR="00196283" w:rsidRPr="00EF4DA9" w:rsidRDefault="003B0BD7" w:rsidP="003B0BD7">
      <w:pPr>
        <w:tabs>
          <w:tab w:val="center" w:pos="6946"/>
        </w:tabs>
        <w:autoSpaceDE w:val="0"/>
        <w:autoSpaceDN w:val="0"/>
        <w:adjustRightInd w:val="0"/>
      </w:pPr>
      <w:r w:rsidRPr="00EF4DA9">
        <w:rPr>
          <w:b/>
          <w:bCs/>
        </w:rPr>
        <w:tab/>
      </w:r>
      <w:r w:rsidR="00E8048E" w:rsidRPr="00EF4DA9">
        <w:rPr>
          <w:b/>
          <w:bCs/>
        </w:rPr>
        <w:t>Igor Grčić</w:t>
      </w:r>
    </w:p>
    <w:sectPr w:rsidR="00196283" w:rsidRPr="00EF4DA9" w:rsidSect="00940A9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F7752" w14:textId="77777777" w:rsidR="00E8048E" w:rsidRDefault="00E8048E" w:rsidP="00E8048E">
      <w:r>
        <w:separator/>
      </w:r>
    </w:p>
  </w:endnote>
  <w:endnote w:type="continuationSeparator" w:id="0">
    <w:p w14:paraId="18D1777E" w14:textId="77777777" w:rsidR="00E8048E" w:rsidRDefault="00E8048E" w:rsidP="00E8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5D066" w14:textId="77777777" w:rsidR="00E8048E" w:rsidRDefault="00E8048E" w:rsidP="00E8048E">
      <w:r>
        <w:separator/>
      </w:r>
    </w:p>
  </w:footnote>
  <w:footnote w:type="continuationSeparator" w:id="0">
    <w:p w14:paraId="4C647F4A" w14:textId="77777777" w:rsidR="00E8048E" w:rsidRDefault="00E8048E" w:rsidP="00E80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1B4"/>
    <w:rsid w:val="00045857"/>
    <w:rsid w:val="00081566"/>
    <w:rsid w:val="000A1B1B"/>
    <w:rsid w:val="000A22E5"/>
    <w:rsid w:val="001052FC"/>
    <w:rsid w:val="001219AD"/>
    <w:rsid w:val="0016760C"/>
    <w:rsid w:val="00175C8C"/>
    <w:rsid w:val="00192E79"/>
    <w:rsid w:val="00196283"/>
    <w:rsid w:val="001E3804"/>
    <w:rsid w:val="00225807"/>
    <w:rsid w:val="00226D5A"/>
    <w:rsid w:val="002354EE"/>
    <w:rsid w:val="00332D2E"/>
    <w:rsid w:val="00340C0F"/>
    <w:rsid w:val="00390982"/>
    <w:rsid w:val="0039284C"/>
    <w:rsid w:val="003A5C89"/>
    <w:rsid w:val="003A6CE5"/>
    <w:rsid w:val="003B0BD7"/>
    <w:rsid w:val="003B4193"/>
    <w:rsid w:val="004446F4"/>
    <w:rsid w:val="004C31B4"/>
    <w:rsid w:val="004F014A"/>
    <w:rsid w:val="00587B98"/>
    <w:rsid w:val="005A780B"/>
    <w:rsid w:val="005F33FA"/>
    <w:rsid w:val="00603692"/>
    <w:rsid w:val="00604F91"/>
    <w:rsid w:val="006E50B2"/>
    <w:rsid w:val="006F0DCA"/>
    <w:rsid w:val="00750956"/>
    <w:rsid w:val="007A5FAE"/>
    <w:rsid w:val="007C0B38"/>
    <w:rsid w:val="007F1A72"/>
    <w:rsid w:val="00900B42"/>
    <w:rsid w:val="009145B3"/>
    <w:rsid w:val="00940A99"/>
    <w:rsid w:val="0095171E"/>
    <w:rsid w:val="00955CE7"/>
    <w:rsid w:val="0096768E"/>
    <w:rsid w:val="009D6A34"/>
    <w:rsid w:val="009E3898"/>
    <w:rsid w:val="00A05616"/>
    <w:rsid w:val="00A31C87"/>
    <w:rsid w:val="00A3270D"/>
    <w:rsid w:val="00A43290"/>
    <w:rsid w:val="00A44285"/>
    <w:rsid w:val="00A90A11"/>
    <w:rsid w:val="00AD5F01"/>
    <w:rsid w:val="00B22483"/>
    <w:rsid w:val="00B45274"/>
    <w:rsid w:val="00BB37C1"/>
    <w:rsid w:val="00BF0632"/>
    <w:rsid w:val="00C002D7"/>
    <w:rsid w:val="00C30532"/>
    <w:rsid w:val="00CD3016"/>
    <w:rsid w:val="00D26BCF"/>
    <w:rsid w:val="00D33D02"/>
    <w:rsid w:val="00D61965"/>
    <w:rsid w:val="00DA07EB"/>
    <w:rsid w:val="00DA5A7C"/>
    <w:rsid w:val="00DB324B"/>
    <w:rsid w:val="00E20133"/>
    <w:rsid w:val="00E46561"/>
    <w:rsid w:val="00E8048E"/>
    <w:rsid w:val="00EF4DA9"/>
    <w:rsid w:val="00F0310B"/>
    <w:rsid w:val="00F143F6"/>
    <w:rsid w:val="00F4326A"/>
    <w:rsid w:val="00F43F71"/>
    <w:rsid w:val="00F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D532F18"/>
  <w15:chartTrackingRefBased/>
  <w15:docId w15:val="{61A2A616-2B7C-4341-ADBC-9EB67285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804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804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804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8048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5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Marina Sikora</cp:lastModifiedBy>
  <cp:revision>2</cp:revision>
  <cp:lastPrinted>2025-12-12T13:51:00Z</cp:lastPrinted>
  <dcterms:created xsi:type="dcterms:W3CDTF">2025-12-12T13:51:00Z</dcterms:created>
  <dcterms:modified xsi:type="dcterms:W3CDTF">2025-12-12T13:51:00Z</dcterms:modified>
</cp:coreProperties>
</file>