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60D6A9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1D45D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+*yqw*wqD*yuk*yiu*ugB*dzb*khx*wEe*ozb*pwa*zew*-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+*eDs*lyd*lyd*lyd*lyd*lye*DBb*yfv*mkz*jBB*zfE*-</w:t>
            </w:r>
            <w:r>
              <w:rPr>
                <w:rFonts w:ascii="PDF417x" w:hAnsi="PDF417x"/>
                <w:sz w:val="24"/>
                <w:szCs w:val="24"/>
              </w:rPr>
              <w:br/>
              <w:t>+*ftw*tmD*mvk*voE*urA*dks*tBb*pDA*xfs*Esg*onA*-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+*ftA*knl*ssx*snc*zeb*zFb*qbm*zgq*wxt*cyE*uws*-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+*xjq*cEy*bAq*wvx*rCw*djA*ECj*Ati*rla*rpk*uzq*-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7D027B8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F98780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64CFEDA" w14:textId="77777777" w:rsidR="00074C5C" w:rsidRDefault="00074C5C" w:rsidP="00074C5C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2D99E14" w14:textId="77777777" w:rsidR="00074C5C" w:rsidRDefault="00074C5C" w:rsidP="00074C5C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074C5C" w14:paraId="349C411E" w14:textId="77777777" w:rsidTr="00074C5C">
        <w:trPr>
          <w:trHeight w:val="1152"/>
        </w:trPr>
        <w:tc>
          <w:tcPr>
            <w:tcW w:w="1008" w:type="dxa"/>
          </w:tcPr>
          <w:p w14:paraId="1192378A" w14:textId="77777777" w:rsidR="00074C5C" w:rsidRDefault="00074C5C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31696D8B" w14:textId="19FA0558" w:rsidR="00074C5C" w:rsidRDefault="00074C5C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drawing>
                <wp:inline distT="0" distB="0" distL="0" distR="0" wp14:anchorId="065770A4" wp14:editId="7B58D540">
                  <wp:extent cx="552450" cy="685800"/>
                  <wp:effectExtent l="0" t="0" r="0" b="0"/>
                  <wp:docPr id="17119030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C5C" w14:paraId="78FF92E5" w14:textId="77777777" w:rsidTr="00074C5C">
        <w:tc>
          <w:tcPr>
            <w:tcW w:w="1008" w:type="dxa"/>
            <w:hideMark/>
          </w:tcPr>
          <w:p w14:paraId="697AEAA5" w14:textId="4B4F7F4A" w:rsidR="00074C5C" w:rsidRDefault="00074C5C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drawing>
                <wp:inline distT="0" distB="0" distL="0" distR="0" wp14:anchorId="6388E884" wp14:editId="7C39AA84">
                  <wp:extent cx="495300" cy="600075"/>
                  <wp:effectExtent l="0" t="0" r="0" b="9525"/>
                  <wp:docPr id="133636610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B88B879" w14:textId="77777777" w:rsidR="00074C5C" w:rsidRDefault="00074C5C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REPUBLIKA HRVATSKA</w:t>
            </w:r>
          </w:p>
          <w:p w14:paraId="3719CF73" w14:textId="77777777" w:rsidR="00074C5C" w:rsidRDefault="00074C5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BJELOVARSKO-BILOGORSKA ŽUPANIJA</w:t>
            </w:r>
          </w:p>
          <w:p w14:paraId="74385247" w14:textId="77777777" w:rsidR="00074C5C" w:rsidRDefault="00074C5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GRAD ČAZMA</w:t>
            </w:r>
          </w:p>
          <w:p w14:paraId="2FB97663" w14:textId="77777777" w:rsidR="00074C5C" w:rsidRDefault="00074C5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7FB360B6" w14:textId="77777777" w:rsidR="00074C5C" w:rsidRDefault="00074C5C" w:rsidP="00074C5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0"/>
          <w:lang w:val="de-DE" w:eastAsia="ar-SA"/>
        </w:rPr>
      </w:pPr>
    </w:p>
    <w:p w14:paraId="1F921A55" w14:textId="77777777" w:rsidR="00074C5C" w:rsidRDefault="00074C5C" w:rsidP="00074C5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KLASA: 602-01/25-01/01  </w:t>
      </w:r>
    </w:p>
    <w:p w14:paraId="4308FE3A" w14:textId="77777777" w:rsidR="00074C5C" w:rsidRDefault="00074C5C" w:rsidP="00074C5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URBROJ: 2103-2-05/01-25-3</w:t>
      </w:r>
    </w:p>
    <w:p w14:paraId="4B0DDE9F" w14:textId="77777777" w:rsidR="00074C5C" w:rsidRDefault="00074C5C" w:rsidP="00074C5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Čazma, 18. veljače 2025.</w:t>
      </w:r>
    </w:p>
    <w:p w14:paraId="6E2254A6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6164ACF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Na temelju točke 5. Odluke o kriterijima i mjerilima za utvrđivanje bilančnih prava za financiranje minimalnog financijskog standarda javnih potreba osnovnog školstva u 2024. godini  („Narodne novine“, broj 16/25), u vezi s Uredbom Vlade Republike Hrvatske o načinu financiranja decentraliziranih funkcija te izračuna iznosa pomoći izravnanja za decentralizirane funkcije jedinica lokalne i područne (regionalne) samouprave za 2025. godinu („Narodne novine“, broj 16/25) i članka 34. Statuta Grada Čazme („Službeni vjesnik“ broj 13/21), Gradsko vijeće Grada Čazme na svojoj 25. sjednici  održanoj 18. veljače 2025. donosi</w:t>
      </w:r>
    </w:p>
    <w:p w14:paraId="1040AD43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ODLUKU</w:t>
      </w:r>
    </w:p>
    <w:p w14:paraId="1C439073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 kriterijima i mjerilima te načinu financiranja</w:t>
      </w:r>
    </w:p>
    <w:p w14:paraId="67094C97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decentraliziranih funkcija osnovnog školstva u Gradu Čazmi u 2025. godini</w:t>
      </w:r>
    </w:p>
    <w:p w14:paraId="6ACC1B43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33ED473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0C69040A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Ovom se Odlukom o kriterijima, mjerilima i načinu financiranja decentraliziranih funkcija osnovnog školstva u Gradu Čazmi u 2025. godini (u daljnjem tekstu: Odluka) utvrđuje način financiranja decentraliziranih funkcija u osnovnom školstvu u Gradu Čazmi u 2025. godini, vrste financiranih rashoda te kriteriji i mjerila za osiguravanje minimalnog financijskog standarda osnovne škole u okvirima planiranih sredstava.</w:t>
      </w:r>
    </w:p>
    <w:p w14:paraId="33CCB951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Rashodi iz stavka 1. ovoga članka utvrđuju se u okviru bilančnih prava utvrđenih Odlukom o kriterijima i mjerilima za utvrđivanje bilančnih prava za financiranje minimalnog financijskog standarda javnih potreba osnovnog školstva u 2025. godini ("Narodne novine" broj  16/25; u daljnjem tekstu: Odluka Vlade).</w:t>
      </w:r>
    </w:p>
    <w:p w14:paraId="4FEE2F6B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7F9DF149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Gradu Čazmi kao nositelju financiranja i osnivaču Osnovne škole Čazma priznaju se, u visini koja osigurava minimalni financijski standard osnovnih škola određen Odlukom Vlade, ukupna bilančna prava za financiranje materijalnih i financijskih rashoda osnovnih škola, rashoda za materijal i dijelove za tekuće investicijsko održavanje i za usluge tekućeg i investicijskog održavanja te rashoda za nabavu proizvedene dugotrajne imovine i dodatna ulaganja na nefinancijskoj imovini.</w:t>
      </w:r>
    </w:p>
    <w:p w14:paraId="693E806B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 xml:space="preserve">U Odluci Vlade se u okviru bilančnih prava za Grad Čazmu osiguravaju sredstva u ukupnom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305.538 EURA,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od čega se iznos od:</w:t>
      </w:r>
    </w:p>
    <w:p w14:paraId="1DD16F4D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• 267.808 EURA odnosi na materijalne i financijske rashode te na rashode za materijal i dijelove za tekuće i investicijsko održavanje</w:t>
      </w:r>
    </w:p>
    <w:p w14:paraId="06A79C11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• 37.730 EURA odnosi na rashode za nabavu proizvedene dugotrajne imovine i dodatna ulaganja na nefinancijskoj imovini </w:t>
      </w:r>
    </w:p>
    <w:p w14:paraId="671AE967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0E78FB39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Svi prihodi i rashodi proračunskih korisnika planiraju se i izvršavaju u Proračunu Grada Čazme. </w:t>
      </w:r>
    </w:p>
    <w:p w14:paraId="524A7546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Grad Čazma kao osnivač Osnovne škole Čazma donosi ovu Odluku temeljem kriterija i mjerila u Odluci Vlade, a u skladu s iskazanim planovima i potrebama Osnovne škole Čazma.</w:t>
      </w:r>
    </w:p>
    <w:p w14:paraId="0D81E7C8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4BA5A5F8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Materijalni i financijski rashodi obuhvaćaju rashode nužne za realizaciju nastavnog plana i programa osnovnoškolskog obrazovanja.</w:t>
      </w:r>
    </w:p>
    <w:p w14:paraId="2CDCEB6B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Tekuće i investicijsko održavanje obuhvaća sredstva za tekuće održavanje građevina te za hitne intervencije, tekuće popravke i otklanjanje nedostataka utvrđenih od strane ovlaštenih pravnih osoba i drugih nadležnih tijela, a koja se planiraju u okviru financijskog plana.</w:t>
      </w:r>
    </w:p>
    <w:p w14:paraId="324036EC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Rashodi za</w:t>
      </w:r>
      <w:r>
        <w:rPr>
          <w:rFonts w:ascii="Calibri" w:eastAsia="Times New Roman" w:hAnsi="Calibri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nabavu proizvedene dugotrajne imovine i dodatna ulaganja na nefinancijskoj imovini obuhvaćaju sredstva nužna za realizaciju kapitalnih projekata.</w:t>
      </w:r>
    </w:p>
    <w:p w14:paraId="6487C769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5.</w:t>
      </w:r>
    </w:p>
    <w:p w14:paraId="47F9F284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Kriteriji i mjerila za financiranje općih materijalnih troškova škola su broj učenika, broj razrednih odjela, broj matičnih škola i broj područnih škola, a mjerila su mjesečni, odnosno godišnji iznos određen prema broju učenika, broju razrednih odjela i broju školskih zgrada u prošloj školskoj godini na osnovi prosječnih kalkulativnih cijena propisanih Odlukom Vlade.</w:t>
      </w:r>
    </w:p>
    <w:p w14:paraId="5AD996F5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Unutar općih troškova raspodjela po pojedinim vrstama rashoda određuje se prema stvarnim potrebama škole, sukladno planiranim iznosima unutar financijskog plana Osnovne  škole Čazma.</w:t>
      </w:r>
    </w:p>
    <w:p w14:paraId="68810925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Ukupna godišnja sredstva Odlukom Vlade bilancirana su u iznosu kojim se osigurava minimalni financijski standard osnovnih škola, a osnivačima osnovnoškolskih ustanova omogućena je njihova preraspodjela po krajnjim korisnicima i namjenama u skladu s objektivnim potrebama osnovnog školstva za financiranje sustava u 2025. godini.</w:t>
      </w:r>
    </w:p>
    <w:p w14:paraId="3948CFF8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6.</w:t>
      </w:r>
    </w:p>
    <w:p w14:paraId="395F3CC7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Kriteriji i mjerila za utvrđivanje raspodjele sredstava unutar rashoda za materijal, dijelove i usluge tekućeg i investicijskog održavanja su dijelom opseg djelatnosti, a dijelom utvrđene stvarne potrebe škole za nužnim zahvatima.</w:t>
      </w:r>
    </w:p>
    <w:p w14:paraId="15AB7669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7.</w:t>
      </w:r>
    </w:p>
    <w:p w14:paraId="6DEA64FF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Kriteriji i mjerila za utvrđivanje raspodjele sredstava unutar rashoda za nabavu proizvedene dugotrajne imovine i dodatna ulaganja na nefinancijskoj imovini su praćenje stanja osnovnoškolskih građevina, iskazanih potreba osnovne škole i procijenjenih prioriteta.</w:t>
      </w:r>
    </w:p>
    <w:p w14:paraId="54317615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88BEFC1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lastRenderedPageBreak/>
        <w:t>Članak 8.</w:t>
      </w:r>
    </w:p>
    <w:p w14:paraId="7B7976B5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 skladu s odredbama Odluke Vlade i Uredbe Vlade Republike Hrvatske o načinu financiranja decentraliziranih funkcija te izračuna iznosa pomoći izravnanja za decentralizirane funkcije jedinica lokalne i područne (regionalne) samouprave za 2025. godinu („Narodne novine“, broj  16/25), ova će se Odluka provoditi na sljedeći način:</w:t>
      </w:r>
    </w:p>
    <w:p w14:paraId="7DCBF569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1. Osnovnoj školi Čazma će se na temelju stvarno nastalih troškova doznačivati sredstva za materijalne i financijske rashode te rashode za tekuće i investicijsko održavanje. Ukupan iznos sredstava za 2025. iznosi naveden je u tablici 1. u prilogu ove Odluke. Sva isplata sredstava vršit će se na račun Osnovne škole Čazma po dostavi zahtjeva škole i ovjeri Upravnog odjela za društvene djelatnosti, obrazovanje i odnose s javnošću.</w:t>
      </w:r>
    </w:p>
    <w:p w14:paraId="1492C07F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CEF8BA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2. Stvarni troškovi prijevoza učenika u tekućoj godini oduzimaju se od ukupnog iznosa utvrđenog za materijalne i financijske rashode Osnovne škole Čazma tako da Grad Čazma, troškove plaća izravno autoprijevozniku, što je u skladu sa člankom 69. Zakona o odgoju i obrazovanju u osnovnoj i srednjoj školi („Narodne novine“, broj 87/08, 86/09, 92/10, 105/10, 90/11, 5/12, 16/12, 86/12, 126/12, 94/13, 152/14, 07/17, 68/18, 98/19, 64/20, 151/22, 155/23, 156/23).</w:t>
      </w:r>
    </w:p>
    <w:p w14:paraId="6CCD2C0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Sredstva namijenjena za prijevoz učenika osnovnih škola posebnim linijskim prijevozom namjenski se koriste za prijevoz učenika, za potrebe odgojno-obrazovnog procesa, u okviru nastavnog plana i programa, a isplaćuju se prijevoznicima po ispostavljenom računu temeljem zaključenih ugovora.</w:t>
      </w:r>
    </w:p>
    <w:p w14:paraId="161F08C0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Ravnatelj osnovne škole dužan je svakodnevno pratiti provedbu prijevoza učenika te za svaki mjesec dostavljati mjesečno izvješće o obavljenom prijevozu, kao osnovu za likvidiranje računa prijevoznika.</w:t>
      </w:r>
    </w:p>
    <w:p w14:paraId="3F9F5922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Upravni odjel za društvene djelatnosti, obrazovanje i odnose s javnošću obavlja računsku i suštinsku kontrolu ispostavljenog računa prijevoznika na temelju cijene iz zaključenog ugovora i radnih dana za koje je prijevoz izvršen te likvidira račun prijevoznika na temelju mjesečnog izvješća osnovne škole o izvršenoj usluzi prijevoza učenika i prosljeđuje ga na plaćanje.</w:t>
      </w:r>
    </w:p>
    <w:p w14:paraId="5F2B4DB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510939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3. Rashodi za materijalne i financijske rashode te rashode za tekuće investicijsko održavanje namijenjena su za sljedeće rashode: </w:t>
      </w:r>
    </w:p>
    <w:p w14:paraId="0EDB9BD6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Službena putovanja</w:t>
      </w:r>
    </w:p>
    <w:p w14:paraId="19F62933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Stručno usavršavanje zaposlenika</w:t>
      </w:r>
    </w:p>
    <w:p w14:paraId="139755CF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Uredski materijal i ostali materijalni rashodi</w:t>
      </w:r>
    </w:p>
    <w:p w14:paraId="2FC3963B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Materijal i sirovine</w:t>
      </w:r>
    </w:p>
    <w:p w14:paraId="7D67197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Energija</w:t>
      </w:r>
    </w:p>
    <w:p w14:paraId="7748E7BB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Materijal i dijelovi za tekuće i investicijsko održavanje</w:t>
      </w:r>
    </w:p>
    <w:p w14:paraId="42EEFABA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Sitni inventar i auto gume</w:t>
      </w:r>
    </w:p>
    <w:p w14:paraId="65158CE8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Službena, radna i zaštitna odjeća i obuća</w:t>
      </w:r>
    </w:p>
    <w:p w14:paraId="06CB8A3C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Usluge telefona, pošte i prijevoza</w:t>
      </w:r>
    </w:p>
    <w:p w14:paraId="4982CD21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- Usluge tekućeg i investicijskog održavanja</w:t>
      </w:r>
    </w:p>
    <w:p w14:paraId="3A0440B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Usluge promidžbe i informiranja</w:t>
      </w:r>
    </w:p>
    <w:p w14:paraId="503331CD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Komunalne usluge</w:t>
      </w:r>
    </w:p>
    <w:p w14:paraId="570A5B5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Zakupnine i najamnine</w:t>
      </w:r>
    </w:p>
    <w:p w14:paraId="435EF89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Zdravstvene i veterinarske usluge</w:t>
      </w:r>
    </w:p>
    <w:p w14:paraId="2D73867C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Intelektualne i osobne usluge</w:t>
      </w:r>
    </w:p>
    <w:p w14:paraId="43FAFD6B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Računalne usluge</w:t>
      </w:r>
    </w:p>
    <w:p w14:paraId="0ED8B87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Ostale usluge</w:t>
      </w:r>
    </w:p>
    <w:p w14:paraId="2B29180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Premije osiguranja </w:t>
      </w:r>
    </w:p>
    <w:p w14:paraId="628B8EDF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Članarine i norme</w:t>
      </w:r>
    </w:p>
    <w:p w14:paraId="1EF4E20C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Pristojbe i naknade</w:t>
      </w:r>
    </w:p>
    <w:p w14:paraId="3390A274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Ostali nespomenuti rashodi poslovanja</w:t>
      </w:r>
    </w:p>
    <w:p w14:paraId="4EB5098A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Bankarske usluge i usluge platnog prometa</w:t>
      </w:r>
    </w:p>
    <w:p w14:paraId="123BE554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Osnovnoj školi Čazma će se sredstva doznačivati na temelju stvarno nastalih troškova.  </w:t>
      </w:r>
    </w:p>
    <w:p w14:paraId="1ED9741A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747BFD9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4. Rashodi za nabavu proizvedene dugotrajne imovine i dodatna ulaganja na nefinancijskoj imovini podrazumijevaju ulaganja u kapitalne projekte koji se odnose na projektiranje, izgradnju i opremanje nove građevine, kao i na nadogradnju, rekonstrukciju i opremanje postojećih građevina. </w:t>
      </w:r>
    </w:p>
    <w:p w14:paraId="3697965D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Škola je dužna na zahtjev Grada Čazme prijaviti svoje potrebe za kapitalnom gradnjom, rekonstrukcijom i sanacijom građevina za čije je ostvarivanje potrebito višegodišnje ulaganje, za nabavom nove opreme, zamjenom dotrajale opreme, nabavom nedostatnih nastavnih sredstava i pomagala s procjenom vrijednosti tih potreba. Na temelju dostavljenih prijava,   Grad Čazma ocjenjuje opravdanost iskazanih potreba i odobrava financijska sredstva putem zahtjeva škole.   </w:t>
      </w:r>
    </w:p>
    <w:p w14:paraId="70703FE7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Planirani rashodi za nabavu nefinancijske imovine obuhvaćaju: </w:t>
      </w:r>
    </w:p>
    <w:p w14:paraId="1D50841F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Poslovni objekti </w:t>
      </w:r>
    </w:p>
    <w:p w14:paraId="34E94ED6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Uredska oprema i namještaj</w:t>
      </w:r>
    </w:p>
    <w:p w14:paraId="75823CB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Oprema za održavanje i zaštitu</w:t>
      </w:r>
    </w:p>
    <w:p w14:paraId="205FEB36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Sportska i glazbena oprema</w:t>
      </w:r>
    </w:p>
    <w:p w14:paraId="1ACF290C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Uređaji, strojevi i oprema za ostale namjene</w:t>
      </w:r>
    </w:p>
    <w:p w14:paraId="18666E34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C9E8740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5. Sredstva koja ostvare kao vlastite prihode osnovne škole nisu obvezne doznačiti u korist Grada Čazme, već ih u skladu s odlukom školskog odbora koriste prema svojim potrebama i planovima, a o njihovom trošenju dva puta godišnje obavještavaju Grad Čazmu za potrebe izrade izvješća, polugodišnji i godišnji izvještaj o izvršenju proračuna.</w:t>
      </w:r>
    </w:p>
    <w:p w14:paraId="58B76B3B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F998D21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lastRenderedPageBreak/>
        <w:t>Članak 9.</w:t>
      </w:r>
    </w:p>
    <w:p w14:paraId="10C7E489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Grad Čazma će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5F97226D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10.</w:t>
      </w:r>
    </w:p>
    <w:p w14:paraId="44109474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Ravnatelj Osnovne škole Čazma odgovoran je za točnost, pravovremenost i istinitost iskazanih podataka za rashode koji se financiraju na temelju ove Odluke te za namjensko trošenje tih sredstava.</w:t>
      </w:r>
    </w:p>
    <w:p w14:paraId="4B1BEC59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11.</w:t>
      </w:r>
    </w:p>
    <w:p w14:paraId="0946F3BE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Usklađenje Proračuna Grada Čazme te Financijskog plana Osnovne škole Čazma za  2025. godinu sa sredstvima planiranim ovom Odlukom izvršit će se prvim izmjenama i dopunama Proračuna Grada Čazme za 2025. godinu, jer je Odluka Vlade donijeta nakon usvajanja Proračuna Grada Čazme za 2025. </w:t>
      </w:r>
    </w:p>
    <w:p w14:paraId="02017899" w14:textId="77777777" w:rsidR="00074C5C" w:rsidRDefault="00074C5C" w:rsidP="00074C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12.</w:t>
      </w:r>
    </w:p>
    <w:p w14:paraId="0D7C3E62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Ova Odluka stupa na snagu osam dana od dana objave u Službenom vjesniku. </w:t>
      </w:r>
    </w:p>
    <w:p w14:paraId="7271DCF0" w14:textId="77777777" w:rsidR="00074C5C" w:rsidRDefault="00074C5C" w:rsidP="00074C5C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35E1E5" w14:textId="77777777" w:rsidR="00074C5C" w:rsidRDefault="00074C5C" w:rsidP="00074C5C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4F27C7A9" w14:textId="77777777" w:rsidR="00074C5C" w:rsidRDefault="00074C5C" w:rsidP="00074C5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4238472" w14:textId="77777777" w:rsidR="00074C5C" w:rsidRDefault="00074C5C" w:rsidP="00074C5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Branko Novković, </w:t>
      </w:r>
      <w:proofErr w:type="spellStart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</w:p>
    <w:p w14:paraId="219CF264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D0BAC2A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3D885D2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Tablica 1. </w:t>
      </w:r>
    </w:p>
    <w:p w14:paraId="0492BCD5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Planirani materijalni i financijski rashodi i rashodi za nabavu proizvedene dugotrajne imovine te rashodi za nabavu proizvedene dugotrajne imovine Osnovne škole Čazma za 2025. godinu (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 izvora pomoći izravnanja za decentralizirane funkcije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268"/>
      </w:tblGrid>
      <w:tr w:rsidR="00074C5C" w14:paraId="37A23B73" w14:textId="77777777" w:rsidTr="00074C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E4E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 xml:space="preserve">Materijalni i financijski rashodi i rashodi za tekuće i investicijsko održavanje EUR (bez prijevoza)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DF48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Troškovi prijevoza učenika, 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A8CB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Rashodi za nabavu proizvedene dugotrajne imovine,</w:t>
            </w:r>
          </w:p>
          <w:p w14:paraId="49CE5334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DB78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UKUPNO  (EUR)</w:t>
            </w:r>
          </w:p>
        </w:tc>
      </w:tr>
      <w:tr w:rsidR="00074C5C" w14:paraId="0BC4AB02" w14:textId="77777777" w:rsidTr="00074C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EBC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1D818D5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 xml:space="preserve"> 90.222</w:t>
            </w:r>
          </w:p>
          <w:p w14:paraId="3A3D8ADB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C77A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 xml:space="preserve"> </w:t>
            </w:r>
          </w:p>
          <w:p w14:paraId="60657DF1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177.586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299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3422E93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 xml:space="preserve"> 37.730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2D2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06A5ED4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305.538</w:t>
            </w:r>
          </w:p>
        </w:tc>
      </w:tr>
      <w:tr w:rsidR="00074C5C" w14:paraId="53646416" w14:textId="77777777" w:rsidTr="00074C5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3DA" w14:textId="77777777" w:rsidR="00074C5C" w:rsidRDefault="00074C5C">
            <w:pPr>
              <w:jc w:val="center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Ukupno 267.808</w:t>
            </w:r>
          </w:p>
          <w:p w14:paraId="6229230B" w14:textId="77777777" w:rsidR="00074C5C" w:rsidRDefault="00074C5C">
            <w:pPr>
              <w:jc w:val="center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212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271" w14:textId="77777777" w:rsidR="00074C5C" w:rsidRDefault="00074C5C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4D60946E" w14:textId="77777777" w:rsidR="00074C5C" w:rsidRDefault="00074C5C" w:rsidP="00074C5C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2B2425" w14:textId="77777777" w:rsidR="00074C5C" w:rsidRDefault="00074C5C" w:rsidP="00074C5C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697348" w14:textId="6DF8A627" w:rsidR="008A562A" w:rsidRDefault="008A562A" w:rsidP="00074C5C">
      <w:pPr>
        <w:jc w:val="both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4C5C"/>
    <w:rsid w:val="000F037B"/>
    <w:rsid w:val="00275B0C"/>
    <w:rsid w:val="002C7B0F"/>
    <w:rsid w:val="00347D72"/>
    <w:rsid w:val="003F65C1"/>
    <w:rsid w:val="00421BCF"/>
    <w:rsid w:val="00675A85"/>
    <w:rsid w:val="00693AB1"/>
    <w:rsid w:val="00792814"/>
    <w:rsid w:val="007F22EC"/>
    <w:rsid w:val="008A562A"/>
    <w:rsid w:val="008C5FE5"/>
    <w:rsid w:val="009B7A12"/>
    <w:rsid w:val="00A836D0"/>
    <w:rsid w:val="00AC35DA"/>
    <w:rsid w:val="00B92D0F"/>
    <w:rsid w:val="00BF3DB9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AC4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table" w:customStyle="1" w:styleId="TableGrid2">
    <w:name w:val="Table Grid2"/>
    <w:basedOn w:val="Obinatablica"/>
    <w:uiPriority w:val="39"/>
    <w:rsid w:val="00074C5C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2014-11-26T14:09:00Z</cp:lastPrinted>
  <dcterms:created xsi:type="dcterms:W3CDTF">2025-02-18T11:20:00Z</dcterms:created>
  <dcterms:modified xsi:type="dcterms:W3CDTF">2025-02-18T11:20:00Z</dcterms:modified>
</cp:coreProperties>
</file>