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8512" w14:textId="216BE625" w:rsidR="008C5FE5" w:rsidRPr="00AD704E" w:rsidRDefault="00AD704E" w:rsidP="00B92D0F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AD704E">
        <w:rPr>
          <w:rFonts w:ascii="Times New Roman" w:eastAsia="Times New Roman" w:hAnsi="Times New Roman" w:cs="Times New Roman"/>
          <w:b/>
          <w:bCs/>
        </w:rPr>
        <w:tab/>
      </w:r>
      <w:r w:rsidRPr="00AD704E">
        <w:rPr>
          <w:rFonts w:ascii="Times New Roman" w:eastAsia="Times New Roman" w:hAnsi="Times New Roman" w:cs="Times New Roman"/>
          <w:b/>
          <w:bCs/>
        </w:rPr>
        <w:tab/>
        <w:t>PRIJEDLOG</w:t>
      </w:r>
    </w:p>
    <w:p w14:paraId="3691A66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CA8C2D7" w14:textId="77777777" w:rsidR="009D09C4" w:rsidRPr="009D09C4" w:rsidRDefault="009D09C4" w:rsidP="009D09C4">
      <w:pPr>
        <w:spacing w:after="200" w:line="276" w:lineRule="auto"/>
        <w:rPr>
          <w:rFonts w:ascii="Times New Roman" w:eastAsia="Times New Roman" w:hAnsi="Times New Roman" w:cs="Times New Roman"/>
          <w:b/>
          <w:bCs/>
          <w:noProof w:val="0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9D09C4" w:rsidRPr="009D09C4" w14:paraId="50F2910C" w14:textId="77777777" w:rsidTr="00572B5E">
        <w:trPr>
          <w:trHeight w:val="1152"/>
        </w:trPr>
        <w:tc>
          <w:tcPr>
            <w:tcW w:w="1008" w:type="dxa"/>
          </w:tcPr>
          <w:p w14:paraId="41475F4A" w14:textId="77777777" w:rsidR="009D09C4" w:rsidRPr="009D09C4" w:rsidRDefault="009D09C4" w:rsidP="009D09C4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6A1F61A9" w14:textId="77777777" w:rsidR="009D09C4" w:rsidRPr="009D09C4" w:rsidRDefault="009D09C4" w:rsidP="009D09C4">
            <w:pPr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val="en-GB" w:eastAsia="ar-SA"/>
              </w:rPr>
            </w:pPr>
            <w:r w:rsidRPr="009D09C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9D09C4">
              <w:rPr>
                <w:rFonts w:ascii="Calibri" w:eastAsia="Times New Roman" w:hAnsi="Calibri" w:cs="Times New Roman"/>
              </w:rPr>
              <w:drawing>
                <wp:inline distT="0" distB="0" distL="0" distR="0" wp14:anchorId="017BD0C9" wp14:editId="06054FC4">
                  <wp:extent cx="552450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9C4" w:rsidRPr="009D09C4" w14:paraId="7385CBE4" w14:textId="77777777" w:rsidTr="00572B5E">
        <w:tc>
          <w:tcPr>
            <w:tcW w:w="1008" w:type="dxa"/>
            <w:hideMark/>
          </w:tcPr>
          <w:p w14:paraId="04B34E7B" w14:textId="77777777" w:rsidR="009D09C4" w:rsidRPr="009D09C4" w:rsidRDefault="009D09C4" w:rsidP="009D09C4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9D09C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drawing>
                <wp:inline distT="0" distB="0" distL="0" distR="0" wp14:anchorId="14D1D425" wp14:editId="50C4486B">
                  <wp:extent cx="495300" cy="600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6DD68558" w14:textId="77777777" w:rsidR="009D09C4" w:rsidRPr="009D09C4" w:rsidRDefault="009D09C4" w:rsidP="009D09C4">
            <w:pPr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9D09C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REPUBLIKA HRVATSKA</w:t>
            </w:r>
          </w:p>
          <w:p w14:paraId="59C677CE" w14:textId="77777777" w:rsidR="009D09C4" w:rsidRPr="009D09C4" w:rsidRDefault="009D09C4" w:rsidP="009D09C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9D09C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BJELOVARSKO-BILOGORSKA ŽUPANIJA</w:t>
            </w:r>
          </w:p>
          <w:p w14:paraId="2DEEF6F9" w14:textId="77777777" w:rsidR="009D09C4" w:rsidRPr="009D09C4" w:rsidRDefault="009D09C4" w:rsidP="009D09C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9D09C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GRAD ČAZMA</w:t>
            </w:r>
          </w:p>
          <w:p w14:paraId="43857FD4" w14:textId="77777777" w:rsidR="009D09C4" w:rsidRPr="009D09C4" w:rsidRDefault="009D09C4" w:rsidP="009D09C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9D09C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 xml:space="preserve">GRADSKO VIJEĆE </w:t>
            </w:r>
          </w:p>
        </w:tc>
      </w:tr>
    </w:tbl>
    <w:p w14:paraId="6EEBEEE6" w14:textId="77777777" w:rsidR="009D09C4" w:rsidRPr="009D09C4" w:rsidRDefault="009D09C4" w:rsidP="009D09C4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0"/>
          <w:lang w:val="de-DE" w:eastAsia="ar-SA"/>
        </w:rPr>
      </w:pPr>
    </w:p>
    <w:p w14:paraId="6C38DE2B" w14:textId="520B25BF" w:rsidR="009D09C4" w:rsidRPr="009D09C4" w:rsidRDefault="009D09C4" w:rsidP="009D09C4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 w:rsidRPr="009D09C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KLASA: 602-01/2</w:t>
      </w:r>
      <w:r w:rsidR="00AD704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5</w:t>
      </w:r>
      <w:r w:rsidRPr="009D09C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-01/01  </w:t>
      </w:r>
    </w:p>
    <w:p w14:paraId="5CB0181F" w14:textId="589DCB5C" w:rsidR="009D09C4" w:rsidRPr="009D09C4" w:rsidRDefault="009D09C4" w:rsidP="009D09C4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 w:rsidRPr="009D09C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URBROJ: 2103-2-05/01-2</w:t>
      </w:r>
      <w:r w:rsidR="00AD704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5</w:t>
      </w:r>
      <w:r w:rsidRPr="009D09C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-</w:t>
      </w:r>
      <w:r w:rsidR="00AD704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3</w:t>
      </w:r>
    </w:p>
    <w:p w14:paraId="6A9A4AE1" w14:textId="52D695A6" w:rsidR="009D09C4" w:rsidRPr="009D09C4" w:rsidRDefault="009D09C4" w:rsidP="009D09C4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 w:rsidRPr="009D09C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Čazma, </w:t>
      </w:r>
      <w:r w:rsidR="00AD704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______________</w:t>
      </w:r>
    </w:p>
    <w:p w14:paraId="3C378FFA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A9B356C" w14:textId="6C80DCD8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Na temelju točke 5. Odluke o kriterijima i mjerilima za utvrđivanje bilančnih prava za financiranje minimalnog financijskog standarda javnih potreba osnovnog školstva u 2024. godini  („Narodne novine“, broj </w:t>
      </w:r>
      <w:r w:rsidR="00E16170">
        <w:rPr>
          <w:rFonts w:ascii="Times New Roman" w:eastAsia="Times New Roman" w:hAnsi="Times New Roman" w:cs="Times New Roman"/>
          <w:noProof w:val="0"/>
          <w:sz w:val="24"/>
          <w:szCs w:val="24"/>
        </w:rPr>
        <w:t>16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/2</w:t>
      </w:r>
      <w:r w:rsidR="00E16170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), u vezi s Uredbom Vlade Republike Hrvatske o načinu financiranja decentraliziranih funkcija te izračuna iznosa pomoći izravnanja za decentralizirane funkcije jedinica lokalne i područne (regionalne) samouprave za 202</w:t>
      </w:r>
      <w:r w:rsidR="00E16170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godinu („Narodne novine“, broj </w:t>
      </w:r>
      <w:r w:rsidR="00E16170">
        <w:rPr>
          <w:rFonts w:ascii="Times New Roman" w:eastAsia="Times New Roman" w:hAnsi="Times New Roman" w:cs="Times New Roman"/>
          <w:noProof w:val="0"/>
          <w:sz w:val="24"/>
          <w:szCs w:val="24"/>
        </w:rPr>
        <w:t>16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/</w:t>
      </w:r>
      <w:r w:rsidR="00E16170">
        <w:rPr>
          <w:rFonts w:ascii="Times New Roman" w:eastAsia="Times New Roman" w:hAnsi="Times New Roman" w:cs="Times New Roman"/>
          <w:noProof w:val="0"/>
          <w:sz w:val="24"/>
          <w:szCs w:val="24"/>
        </w:rPr>
        <w:t>25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) i članka 34. Statuta Grada Čazme („Službeni vjesnik“ broj 13/21), Gradsko vijeće Grada Čazme na svojoj </w:t>
      </w:r>
      <w:r w:rsidR="00E1617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____ 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sjednici  održanoj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E16170">
        <w:rPr>
          <w:rFonts w:ascii="Times New Roman" w:eastAsia="Times New Roman" w:hAnsi="Times New Roman" w:cs="Times New Roman"/>
          <w:noProof w:val="0"/>
          <w:sz w:val="24"/>
          <w:szCs w:val="24"/>
        </w:rPr>
        <w:t>______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donosi</w:t>
      </w:r>
    </w:p>
    <w:p w14:paraId="6F5D54A3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ODLUKU</w:t>
      </w:r>
    </w:p>
    <w:p w14:paraId="6A84DA56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 kriterijima i mjerilima te načinu financiranja</w:t>
      </w:r>
    </w:p>
    <w:p w14:paraId="05B90F74" w14:textId="2E4858FE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decentraliziranih funkcija osnovnog školstva u Gradu Čazmi u 202</w:t>
      </w:r>
      <w:r w:rsidR="00E16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 godini</w:t>
      </w:r>
    </w:p>
    <w:p w14:paraId="2792926F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D087621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08A8A69C" w14:textId="1515BFFC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Ovom se Odlukom o kriterijima, mjerilima i načinu financiranja decentraliziranih funkcija osnovnog školstva u Gradu Čazmi u 202</w:t>
      </w:r>
      <w:r w:rsidR="00175814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. godini (u daljnjem tekstu: Odluka) utvrđuje način financiranja decentraliziranih funkcija u osnovnom školstvu u Gradu Čazmi u 202</w:t>
      </w:r>
      <w:r w:rsidR="00175814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. godini, vrste financiranih rashoda te kriteriji i mjerila za osiguravanje minimalnog financijskog standarda osnovne škole u okvirima planiranih sredstava.</w:t>
      </w:r>
    </w:p>
    <w:p w14:paraId="490C6140" w14:textId="4D393393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Rashodi iz stavka 1. ovoga članka utvrđuju se u okviru bilančnih prava utvrđenih Odlukom o kriterijima i mjerilima za utvrđivanje bilančnih prava za financiranje minimalnog financijskog standarda javnih potreba osnovnog školstva u 202</w:t>
      </w:r>
      <w:r w:rsidR="00175814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godini ("Narodne novine" broj  </w:t>
      </w:r>
      <w:r w:rsidR="00175814">
        <w:rPr>
          <w:rFonts w:ascii="Times New Roman" w:eastAsia="Times New Roman" w:hAnsi="Times New Roman" w:cs="Times New Roman"/>
          <w:noProof w:val="0"/>
          <w:sz w:val="24"/>
          <w:szCs w:val="24"/>
        </w:rPr>
        <w:t>16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/2</w:t>
      </w:r>
      <w:r w:rsidR="00175814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; u daljnjem tekstu: Odluka Vlade).</w:t>
      </w:r>
    </w:p>
    <w:p w14:paraId="7AFB9F06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2210B406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Gradu Čazmi kao nositelju financiranja i osnivaču Osnovne škole Čazma priznaju se, u visini koja osigurava minimalni financijski standard osnovnih škola određen Odlukom Vlade, ukupna bilančna prava za financiranje materijalnih i financijskih rashoda osnovnih škola, rashoda za materijal i dijelove za tekuće investicijsko održavanje i za usluge tekućeg i investicijskog održavanja te rashoda za nabavu proizvedene dugotrajne imovine i dodatna ulaganja na nefinancijskoj imovini.</w:t>
      </w:r>
    </w:p>
    <w:p w14:paraId="75D713FB" w14:textId="612B56FA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 xml:space="preserve">U Odluci Vlade se u okviru bilančnih prava za Grad Čazmu osiguravaju sredstva u ukupnom iznosu od </w:t>
      </w:r>
      <w:r w:rsidR="0017581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305.538</w:t>
      </w: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EURA,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od čega se iznos od:</w:t>
      </w:r>
    </w:p>
    <w:p w14:paraId="5726812A" w14:textId="214D29EB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• 2</w:t>
      </w:r>
      <w:r w:rsidR="00175814">
        <w:rPr>
          <w:rFonts w:ascii="Times New Roman" w:eastAsia="Times New Roman" w:hAnsi="Times New Roman" w:cs="Times New Roman"/>
          <w:noProof w:val="0"/>
          <w:sz w:val="24"/>
          <w:szCs w:val="24"/>
        </w:rPr>
        <w:t>67.808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EURA odnosi na materijalne i financijske rashode te na rashode za materijal i dijelove za tekuće i investicijsko održavanje</w:t>
      </w:r>
    </w:p>
    <w:p w14:paraId="7B360132" w14:textId="37F99E42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• 3</w:t>
      </w:r>
      <w:r w:rsidR="00175814">
        <w:rPr>
          <w:rFonts w:ascii="Times New Roman" w:eastAsia="Times New Roman" w:hAnsi="Times New Roman" w:cs="Times New Roman"/>
          <w:noProof w:val="0"/>
          <w:sz w:val="24"/>
          <w:szCs w:val="24"/>
        </w:rPr>
        <w:t>7.730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EURA odnosi na rashode za nabavu proizvedene dugotrajne imovine i dodatna ulaganja na nefinancijskoj imovini </w:t>
      </w:r>
    </w:p>
    <w:p w14:paraId="61D8CC4E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5522B0F7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Svi prihodi i rashodi proračunskih korisnika planiraju se i izvršavaju u Proračunu Grada Čazme. </w:t>
      </w:r>
    </w:p>
    <w:p w14:paraId="2EEBCB66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Grad Čazma kao osnivač Osnovne škole Čazma donosi ovu Odluku temeljem kriterija i mjerila u Odluci Vlade, a u skladu s iskazanim planovima i potrebama Osnovne škole Čazma.</w:t>
      </w:r>
    </w:p>
    <w:p w14:paraId="26E6CF77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7FB1BFAD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Materijalni i financijski rashodi obuhvaćaju rashode nužne za realizaciju nastavnog plana i programa osnovnoškolskog obrazovanja.</w:t>
      </w:r>
    </w:p>
    <w:p w14:paraId="61133992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Tekuće i investicijsko održavanje obuhvaća sredstva za tekuće održavanje građevina te za hitne intervencije, tekuće popravke i otklanjanje nedostataka utvrđenih od strane ovlaštenih pravnih osoba i drugih nadležnih tijela, a koja se planiraju u okviru financijskog plana.</w:t>
      </w:r>
    </w:p>
    <w:p w14:paraId="39947B45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Rashodi za</w:t>
      </w:r>
      <w:r w:rsidRPr="009D09C4">
        <w:rPr>
          <w:rFonts w:ascii="Calibri" w:eastAsia="Times New Roman" w:hAnsi="Calibri" w:cs="Times New Roman"/>
          <w:noProof w:val="0"/>
        </w:rPr>
        <w:t xml:space="preserve"> 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nabavu proizvedene dugotrajne imovine i dodatna ulaganja na nefinancijskoj imovini obuhvaćaju sredstva nužna za realizaciju kapitalnih projekata.</w:t>
      </w:r>
    </w:p>
    <w:p w14:paraId="1049C8C1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5.</w:t>
      </w:r>
    </w:p>
    <w:p w14:paraId="79A760E9" w14:textId="1B1B5E90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Kriteriji i mjerila za financiranje općih materijalnih troškova škola su broj učenika, broj razrednih odjela, broj matičnih škola i broj područnih škola, a mjerila su mjesečni, odnosno godišnji iznos određen prema broju učenika, broju razrednih odjela i broju školskih zgrada u </w:t>
      </w:r>
      <w:r w:rsidR="0017581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prošloj 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školskoj godini na osnovi prosječnih kalkulativnih cijena propisanih Odlukom Vlade.</w:t>
      </w:r>
    </w:p>
    <w:p w14:paraId="253DD1D1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Unutar općih troškova raspodjela po pojedinim vrstama rashoda određuje se prema stvarnim potrebama škole, sukladno planiranim iznosima unutar financijskog plana Osnovne  škole Čazma.</w:t>
      </w:r>
    </w:p>
    <w:p w14:paraId="4FA70C7A" w14:textId="2DCF6236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Ukupna godišnja sredstva Odlukom Vlade bilancirana su u iznosu kojim se osigurava minimalni financijski standard osnovnih škola, a osnivačima osnovnoškolskih ustanova omogućena je njihova preraspodjela po krajnjim korisnicima i namjenama u skladu s objektivnim potrebama osnovnog školstva za financiranje sustava u 202</w:t>
      </w:r>
      <w:r w:rsidR="00D01868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. godini.</w:t>
      </w:r>
    </w:p>
    <w:p w14:paraId="56967E15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6.</w:t>
      </w:r>
    </w:p>
    <w:p w14:paraId="666FDCB2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Kriteriji i mjerila za utvrđivanje raspodjele sredstava unutar rashoda za materijal, dijelove i usluge tekućeg i investicijskog održavanja su dijelom opseg djelatnosti, a dijelom utvrđene stvarne potrebe škole za nužnim zahvatima.</w:t>
      </w:r>
    </w:p>
    <w:p w14:paraId="6C72762C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7.</w:t>
      </w:r>
    </w:p>
    <w:p w14:paraId="7E2C6A32" w14:textId="77777777" w:rsid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Kriteriji i mjerila za utvrđivanje raspodjele sredstava unutar rashoda za nabavu proizvedene dugotrajne imovine i dodatna ulaganja na nefinancijskoj imovini su praćenje stanja osnovnoškolskih građevina, iskazanih potreba osnovne škole i procijenjenih prioriteta.</w:t>
      </w:r>
    </w:p>
    <w:p w14:paraId="3AAE8737" w14:textId="77777777" w:rsidR="00D01868" w:rsidRPr="009D09C4" w:rsidRDefault="00D01868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8F2F5E1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lastRenderedPageBreak/>
        <w:t>Članak 8.</w:t>
      </w:r>
    </w:p>
    <w:p w14:paraId="6BCF7A00" w14:textId="51E98BA2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U skladu s odredbama Odluke Vlade i Uredbe Vlade Republike Hrvatske o načinu financiranja decentraliziranih funkcija te izračuna iznosa pomoći izravnanja za decentralizirane funkcije jedinica lokalne i područne (regionalne) samouprave za 202</w:t>
      </w:r>
      <w:r w:rsidR="00D01868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godinu („Narodne novine“, broj  </w:t>
      </w:r>
      <w:r w:rsidR="00D01868">
        <w:rPr>
          <w:rFonts w:ascii="Times New Roman" w:eastAsia="Times New Roman" w:hAnsi="Times New Roman" w:cs="Times New Roman"/>
          <w:noProof w:val="0"/>
          <w:sz w:val="24"/>
          <w:szCs w:val="24"/>
        </w:rPr>
        <w:t>16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/2</w:t>
      </w:r>
      <w:r w:rsidR="00D01868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), ova će se Odluka provoditi na sljedeći način:</w:t>
      </w:r>
    </w:p>
    <w:p w14:paraId="118833DC" w14:textId="6C66AF34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1. Osnovnoj školi Čazma će se na temelju stvarno nastalih troškova doznačivati sredstva za materijalne i financijske rashode te rashode za tekuće i investicijsko održavanje. Ukupan iznos sredstava za 202</w:t>
      </w:r>
      <w:r w:rsidR="00D01868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. iznosi naveden je u tablici 1. u prilogu ove Odluke. Sva isplata sredstava vršit će se na račun Osnovne škole Čazma po dostavi zahtjeva škole i ovjeri Upravnog odjela za društvene djelatnosti, obrazovanje i odnose s javnošću.</w:t>
      </w:r>
    </w:p>
    <w:p w14:paraId="313A3B17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1F9B5BA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2. Stvarni troškovi prijevoza učenika u tekućoj godini oduzimaju se od ukupnog iznosa utvrđenog za materijalne i financijske rashode Osnovne škole Čazma tako da Grad Čazma, troškove plaća izravno autoprijevozniku, što je u skladu sa člankom 69. Zakona o odgoju i obrazovanju u osnovnoj i srednjoj školi („Narodne novine“, broj 87/08, 86/09, 92/10, 105/10, 90/11, 5/12, 16/12, 86/12, 126/12, 94/13, 152/14, 07/17, 68/18, 98/19, 64/20, 151/22, 155/23, 156/23).</w:t>
      </w:r>
    </w:p>
    <w:p w14:paraId="03BD6848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Sredstva namijenjena za prijevoz učenika osnovnih škola posebnim linijskim prijevozom namjenski se koriste za prijevoz učenika, za potrebe odgojno-obrazovnog procesa, u okviru nastavnog plana i programa, a isplaćuju se prijevoznicima po ispostavljenom računu temeljem zaključenih ugovora.</w:t>
      </w:r>
    </w:p>
    <w:p w14:paraId="14563F1E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Ravnatelj osnovne škole dužan je svakodnevno pratiti provedbu prijevoza učenika te za svaki mjesec dostavljati mjesečno izvješće o obavljenom prijevozu, kao osnovu za likvidiranje računa prijevoznika.</w:t>
      </w:r>
    </w:p>
    <w:p w14:paraId="4BC014C6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Upravni odjel za društvene djelatnosti, obrazovanje i odnose s javnošću obavlja računsku i suštinsku kontrolu ispostavljenog računa prijevoznika na temelju cijene iz zaključenog ugovora i radnih dana za koje je prijevoz izvršen te likvidira račun prijevoznika na temelju mjesečnog izvješća osnovne škole o izvršenoj usluzi prijevoza učenika i prosljeđuje ga na plaćanje.</w:t>
      </w:r>
    </w:p>
    <w:p w14:paraId="22E9D695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FD9E61F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3. Rashodi za materijalne i financijske rashode te rashode za tekuće investicijsko održavanje namijenjena su za sljedeće rashode: </w:t>
      </w:r>
    </w:p>
    <w:p w14:paraId="655E24DA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Službena putovanja</w:t>
      </w:r>
    </w:p>
    <w:p w14:paraId="67B8A71E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Stručno usavršavanje zaposlenika</w:t>
      </w:r>
    </w:p>
    <w:p w14:paraId="31F027A1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Uredski materijal i ostali materijalni rashodi</w:t>
      </w:r>
    </w:p>
    <w:p w14:paraId="652D1D62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Materijal i sirovine</w:t>
      </w:r>
    </w:p>
    <w:p w14:paraId="0ECD26E6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Energija</w:t>
      </w:r>
    </w:p>
    <w:p w14:paraId="6F5A076A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Materijal i dijelovi za tekuće i investicijsko održavanje</w:t>
      </w:r>
    </w:p>
    <w:p w14:paraId="6BDB60BF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Sitni inventar i auto gume</w:t>
      </w:r>
    </w:p>
    <w:p w14:paraId="5A1B6750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Službena, radna i zaštitna odjeća i obuća</w:t>
      </w:r>
    </w:p>
    <w:p w14:paraId="68573F80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Usluge telefona, pošte i prijevoza</w:t>
      </w:r>
    </w:p>
    <w:p w14:paraId="762C10BA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>- Usluge tekućeg i investicijskog održavanja</w:t>
      </w:r>
    </w:p>
    <w:p w14:paraId="138A99BF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Usluge promidžbe i informiranja</w:t>
      </w:r>
    </w:p>
    <w:p w14:paraId="4738F6B3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Komunalne usluge</w:t>
      </w:r>
    </w:p>
    <w:p w14:paraId="6F5D0159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Zakupnine i najamnine</w:t>
      </w:r>
    </w:p>
    <w:p w14:paraId="5E09A8BE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Zdravstvene i veterinarske usluge</w:t>
      </w:r>
    </w:p>
    <w:p w14:paraId="339B7324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Intelektualne i osobne usluge</w:t>
      </w:r>
    </w:p>
    <w:p w14:paraId="6D9CF80E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Računalne usluge</w:t>
      </w:r>
    </w:p>
    <w:p w14:paraId="39E511F8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Ostale usluge</w:t>
      </w:r>
    </w:p>
    <w:p w14:paraId="23EF2BB1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 Premije osiguranja </w:t>
      </w:r>
    </w:p>
    <w:p w14:paraId="296BDB8D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Članarine i norme</w:t>
      </w:r>
    </w:p>
    <w:p w14:paraId="29D2772E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Pristojbe i naknade</w:t>
      </w:r>
    </w:p>
    <w:p w14:paraId="0A32FA14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Ostali nespomenuti rashodi poslovanja</w:t>
      </w:r>
    </w:p>
    <w:p w14:paraId="60B086FD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Bankarske usluge i usluge platnog prometa</w:t>
      </w:r>
    </w:p>
    <w:p w14:paraId="6F377AD0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Osnovnoj školi Čazma će se sredstva doznačivati na temelju stvarno nastalih troškova.  </w:t>
      </w:r>
    </w:p>
    <w:p w14:paraId="3E6F74C6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4DFA978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4. Rashodi za nabavu proizvedene dugotrajne imovine i dodatna ulaganja na nefinancijskoj imovini podrazumijevaju ulaganja u kapitalne projekte koji se odnose na projektiranje, izgradnju i opremanje nove građevine, kao i na nadogradnju, rekonstrukciju i opremanje postojećih građevina. </w:t>
      </w:r>
    </w:p>
    <w:p w14:paraId="23753CC2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Škola je dužna na zahtjev Grada Čazme prijaviti svoje potrebe za kapitalnom gradnjom, rekonstrukcijom i sanacijom građevina za čije je ostvarivanje potrebito višegodišnje ulaganje, za nabavom nove opreme, zamjenom dotrajale opreme, nabavom nedostatnih nastavnih sredstava i pomagala s procjenom vrijednosti tih potreba. Na temelju dostavljenih prijava,   Grad Čazma ocjenjuje opravdanost iskazanih potreba i odobrava financijska sredstva putem zahtjeva škole.   </w:t>
      </w:r>
    </w:p>
    <w:p w14:paraId="63A8A1FC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Planirani rashodi za nabavu nefinancijske imovine obuhvaćaju: </w:t>
      </w:r>
    </w:p>
    <w:p w14:paraId="575B33A3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- Poslovni objekti </w:t>
      </w:r>
    </w:p>
    <w:p w14:paraId="60D8CE0D" w14:textId="77777777" w:rsid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Uredska oprema i namještaj</w:t>
      </w:r>
    </w:p>
    <w:p w14:paraId="3ECC634E" w14:textId="33F6D3F6" w:rsidR="001C469A" w:rsidRPr="009D09C4" w:rsidRDefault="001C469A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- Oprema za održavanje i zaštitu</w:t>
      </w:r>
    </w:p>
    <w:p w14:paraId="7865C0C1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Sportska i glazbena oprema</w:t>
      </w:r>
    </w:p>
    <w:p w14:paraId="72A0ABDD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- Uređaji, strojevi i oprema za ostale namjene</w:t>
      </w:r>
    </w:p>
    <w:p w14:paraId="18EE31F4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4FF0A14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5. Sredstva koja ostvare kao vlastite prihode osnovne škole nisu obvezne doznačiti u korist Grada Čazme, već ih u skladu s odlukom školskog odbora koriste prema svojim potrebama i planovima, a o njihovom trošenju dva puta godišnje obavještavaju Grad Čazmu za potrebe izrade izvješća, polugodišnji i godišnji izvještaj o izvršenju proračuna.</w:t>
      </w:r>
    </w:p>
    <w:p w14:paraId="473249BA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F4341B4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9.</w:t>
      </w:r>
    </w:p>
    <w:p w14:paraId="023C8E21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Grad Čazma će sredstva za rashode za materijal, dijelove i usluge tekućeg i investicijskog održavanja te sredstva za rashode za nabavu proizvedene dugotrajne imovine i dodatna ulaganja na nefinancijskoj imovini realizirati u skladu sa zakonom kojim se uređuje javna nabava.</w:t>
      </w:r>
    </w:p>
    <w:p w14:paraId="682545A7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10.</w:t>
      </w:r>
    </w:p>
    <w:p w14:paraId="78EE0450" w14:textId="77777777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Ravnatelj Osnovne škole Čazma odgovoran je za točnost, pravovremenost i istinitost iskazanih podataka za rashode koji se financiraju na temelju ove Odluke te za namjensko trošenje tih sredstava.</w:t>
      </w:r>
    </w:p>
    <w:p w14:paraId="5E287070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11.</w:t>
      </w:r>
    </w:p>
    <w:p w14:paraId="506E70CC" w14:textId="17BA853E" w:rsidR="009D09C4" w:rsidRP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Usklađenje Proračuna Grada Čazme te Financijskog plana Osnovne škole Čazma za  202</w:t>
      </w:r>
      <w:r w:rsidR="00354B07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. godinu sa sredstvima planiranim ovom Odlukom izvršit će se prvim izmjenama i dopunama Proračuna Grada Čazme za 202</w:t>
      </w:r>
      <w:r w:rsidR="00354B07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. godinu, jer je Odluka Vlade donijeta nakon usvajanja Proračuna Grada Čazme za 202</w:t>
      </w:r>
      <w:r w:rsidR="00354B07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</w:p>
    <w:p w14:paraId="37EA2278" w14:textId="77777777" w:rsidR="009D09C4" w:rsidRPr="009D09C4" w:rsidRDefault="009D09C4" w:rsidP="009D09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12.</w:t>
      </w:r>
    </w:p>
    <w:p w14:paraId="2C391FB3" w14:textId="77777777" w:rsidR="009D09C4" w:rsidRDefault="009D09C4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Ova Odluka stupa na snagu osam dana od dana objave u Službenom vjesniku. </w:t>
      </w:r>
    </w:p>
    <w:p w14:paraId="200B9AC7" w14:textId="77777777" w:rsidR="00964D26" w:rsidRPr="009D09C4" w:rsidRDefault="00964D26" w:rsidP="009D09C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681E228" w14:textId="77777777" w:rsidR="009D09C4" w:rsidRPr="009D09C4" w:rsidRDefault="009D09C4" w:rsidP="009D09C4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D09C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GRADSKOG VIJEĆA</w:t>
      </w:r>
    </w:p>
    <w:p w14:paraId="5FCDE0FC" w14:textId="77777777" w:rsidR="009D09C4" w:rsidRPr="009D09C4" w:rsidRDefault="009D09C4" w:rsidP="009D09C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83D162F" w14:textId="77777777" w:rsidR="009D09C4" w:rsidRPr="009D09C4" w:rsidRDefault="009D09C4" w:rsidP="009D09C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9D09C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Branko Novković, mag.med.techn. </w:t>
      </w:r>
    </w:p>
    <w:p w14:paraId="73CDCD57" w14:textId="77777777" w:rsidR="00964D26" w:rsidRDefault="00964D26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B141C1F" w14:textId="77777777" w:rsidR="00964D26" w:rsidRDefault="00964D26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A8905D4" w14:textId="783D8494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Tablica 1. </w:t>
      </w:r>
    </w:p>
    <w:p w14:paraId="55B1807D" w14:textId="46D47F80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Planirani materijalni i financijski rashodi i rashodi za nabavu proizvedene dugotrajne imovine te rashodi za nabavu proizvedene dugotrajne imovine Osnovne škole Čazma za 202</w:t>
      </w:r>
      <w:r w:rsidR="00354B07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>. godinu (</w:t>
      </w:r>
      <w:r w:rsidRPr="009D09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iz izvora pomoći izravnanja za decentralizirane funkcije</w:t>
      </w:r>
      <w:r w:rsidRPr="009D09C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):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268"/>
      </w:tblGrid>
      <w:tr w:rsidR="009D09C4" w:rsidRPr="009D09C4" w14:paraId="6E5E3A92" w14:textId="77777777" w:rsidTr="00572B5E">
        <w:tc>
          <w:tcPr>
            <w:tcW w:w="2972" w:type="dxa"/>
          </w:tcPr>
          <w:p w14:paraId="159B1986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9D09C4">
              <w:rPr>
                <w:rFonts w:ascii="Times New Roman" w:hAnsi="Times New Roman"/>
                <w:noProof w:val="0"/>
                <w:sz w:val="24"/>
                <w:szCs w:val="24"/>
              </w:rPr>
              <w:t xml:space="preserve">Materijalni i financijski rashodi i rashodi za tekuće i investicijsko održavanje EUR (bez prijevoza) </w:t>
            </w:r>
          </w:p>
        </w:tc>
        <w:tc>
          <w:tcPr>
            <w:tcW w:w="2126" w:type="dxa"/>
          </w:tcPr>
          <w:p w14:paraId="7A2EE28C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9D09C4">
              <w:rPr>
                <w:rFonts w:ascii="Times New Roman" w:hAnsi="Times New Roman"/>
                <w:noProof w:val="0"/>
                <w:sz w:val="24"/>
                <w:szCs w:val="24"/>
              </w:rPr>
              <w:t>Troškovi prijevoza učenika,  EUR</w:t>
            </w:r>
          </w:p>
        </w:tc>
        <w:tc>
          <w:tcPr>
            <w:tcW w:w="2268" w:type="dxa"/>
          </w:tcPr>
          <w:p w14:paraId="73B60FE4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9D09C4">
              <w:rPr>
                <w:rFonts w:ascii="Times New Roman" w:hAnsi="Times New Roman"/>
                <w:noProof w:val="0"/>
                <w:sz w:val="24"/>
                <w:szCs w:val="24"/>
              </w:rPr>
              <w:t>Rashodi za nabavu proizvedene dugotrajne imovine,</w:t>
            </w:r>
          </w:p>
          <w:p w14:paraId="2A8C818F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9D09C4">
              <w:rPr>
                <w:rFonts w:ascii="Times New Roman" w:hAnsi="Times New Roman"/>
                <w:noProof w:val="0"/>
                <w:sz w:val="24"/>
                <w:szCs w:val="24"/>
              </w:rPr>
              <w:t>EUR</w:t>
            </w:r>
          </w:p>
        </w:tc>
        <w:tc>
          <w:tcPr>
            <w:tcW w:w="2268" w:type="dxa"/>
          </w:tcPr>
          <w:p w14:paraId="6B531BCB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9D09C4">
              <w:rPr>
                <w:rFonts w:ascii="Times New Roman" w:hAnsi="Times New Roman"/>
                <w:noProof w:val="0"/>
                <w:sz w:val="24"/>
                <w:szCs w:val="24"/>
              </w:rPr>
              <w:t>UKUPNO  (EUR)</w:t>
            </w:r>
          </w:p>
        </w:tc>
      </w:tr>
      <w:tr w:rsidR="009D09C4" w:rsidRPr="009D09C4" w14:paraId="4126B701" w14:textId="77777777" w:rsidTr="00572B5E">
        <w:tc>
          <w:tcPr>
            <w:tcW w:w="2972" w:type="dxa"/>
          </w:tcPr>
          <w:p w14:paraId="2FF9EEBF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248EB08" w14:textId="7D5281D1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9D09C4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</w:t>
            </w:r>
            <w:r w:rsidR="00354B07">
              <w:rPr>
                <w:rFonts w:ascii="Times New Roman" w:hAnsi="Times New Roman"/>
                <w:noProof w:val="0"/>
                <w:sz w:val="24"/>
                <w:szCs w:val="24"/>
              </w:rPr>
              <w:t>90.222</w:t>
            </w:r>
          </w:p>
          <w:p w14:paraId="626D5CFC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5098A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9D09C4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</w:t>
            </w:r>
          </w:p>
          <w:p w14:paraId="289BAC61" w14:textId="56D2C304" w:rsidR="009D09C4" w:rsidRPr="009D09C4" w:rsidRDefault="00354B07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177.586</w:t>
            </w:r>
          </w:p>
        </w:tc>
        <w:tc>
          <w:tcPr>
            <w:tcW w:w="2268" w:type="dxa"/>
          </w:tcPr>
          <w:p w14:paraId="7730D662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79D62F1" w14:textId="5A3BEDD6" w:rsidR="009D09C4" w:rsidRPr="009D09C4" w:rsidRDefault="00354B07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 xml:space="preserve"> 37.730</w:t>
            </w:r>
          </w:p>
        </w:tc>
        <w:tc>
          <w:tcPr>
            <w:tcW w:w="2268" w:type="dxa"/>
          </w:tcPr>
          <w:p w14:paraId="5BE97C69" w14:textId="77777777" w:rsidR="009D09C4" w:rsidRPr="009D09C4" w:rsidRDefault="009D09C4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7569F37" w14:textId="2112C707" w:rsidR="009D09C4" w:rsidRPr="009D09C4" w:rsidRDefault="00354B07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305.538</w:t>
            </w:r>
          </w:p>
        </w:tc>
      </w:tr>
      <w:tr w:rsidR="000E01CD" w:rsidRPr="009D09C4" w14:paraId="7F519F7C" w14:textId="77777777" w:rsidTr="00662EBE">
        <w:tc>
          <w:tcPr>
            <w:tcW w:w="5098" w:type="dxa"/>
            <w:gridSpan w:val="2"/>
          </w:tcPr>
          <w:p w14:paraId="34490566" w14:textId="7E7E09C5" w:rsidR="000E01CD" w:rsidRDefault="000E01CD" w:rsidP="000E01CD">
            <w:pPr>
              <w:jc w:val="center"/>
              <w:rPr>
                <w:rFonts w:ascii="Times New Roman" w:hAnsi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</w:rPr>
              <w:t>Ukupno 267.808</w:t>
            </w:r>
          </w:p>
          <w:p w14:paraId="256E37E3" w14:textId="77777777" w:rsidR="000E01CD" w:rsidRPr="009D09C4" w:rsidRDefault="000E01CD" w:rsidP="000E01CD">
            <w:pPr>
              <w:jc w:val="center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2B56B" w14:textId="77777777" w:rsidR="000E01CD" w:rsidRPr="009D09C4" w:rsidRDefault="000E01CD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D674F5" w14:textId="77777777" w:rsidR="000E01CD" w:rsidRPr="009D09C4" w:rsidRDefault="000E01CD" w:rsidP="009D09C4">
            <w:pPr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054779C8" w14:textId="77777777" w:rsidR="009D09C4" w:rsidRPr="009D09C4" w:rsidRDefault="009D09C4" w:rsidP="009D09C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217AE0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sectPr w:rsidR="00675A8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183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01CD"/>
    <w:rsid w:val="000E5A2F"/>
    <w:rsid w:val="000F037B"/>
    <w:rsid w:val="0015436F"/>
    <w:rsid w:val="00175814"/>
    <w:rsid w:val="001C469A"/>
    <w:rsid w:val="00275B0C"/>
    <w:rsid w:val="002C7B0F"/>
    <w:rsid w:val="00316C92"/>
    <w:rsid w:val="00347D72"/>
    <w:rsid w:val="00354B07"/>
    <w:rsid w:val="003F65C1"/>
    <w:rsid w:val="00421BCF"/>
    <w:rsid w:val="005A006E"/>
    <w:rsid w:val="006407A3"/>
    <w:rsid w:val="00675A85"/>
    <w:rsid w:val="00693AB1"/>
    <w:rsid w:val="007F22EC"/>
    <w:rsid w:val="008A562A"/>
    <w:rsid w:val="008C5FE5"/>
    <w:rsid w:val="00964D26"/>
    <w:rsid w:val="009B7A12"/>
    <w:rsid w:val="009D09C4"/>
    <w:rsid w:val="00A836D0"/>
    <w:rsid w:val="00AC35DA"/>
    <w:rsid w:val="00AD704E"/>
    <w:rsid w:val="00B92D0F"/>
    <w:rsid w:val="00C32CA2"/>
    <w:rsid w:val="00C9578C"/>
    <w:rsid w:val="00D01868"/>
    <w:rsid w:val="00D707B3"/>
    <w:rsid w:val="00E16170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82A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table" w:customStyle="1" w:styleId="TableGrid2">
    <w:name w:val="Table Grid2"/>
    <w:basedOn w:val="Obinatablica"/>
    <w:next w:val="Reetkatablice"/>
    <w:uiPriority w:val="39"/>
    <w:rsid w:val="009D09C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C5231F0-A104-43F3-AAC4-D513B8AECBD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21</cp:revision>
  <cp:lastPrinted>2025-02-04T12:16:00Z</cp:lastPrinted>
  <dcterms:created xsi:type="dcterms:W3CDTF">2025-02-04T08:39:00Z</dcterms:created>
  <dcterms:modified xsi:type="dcterms:W3CDTF">2025-02-04T12:19:00Z</dcterms:modified>
</cp:coreProperties>
</file>